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Centrale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Marchés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NON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et à la publication de l’AGPM.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