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40"/>
        <w:jc w:val="center"/>
      </w:pPr>
      <w:r>
        <w:rPr>
          <w:b w:val="on"/>
          <w:sz w:val="26"/>
        </w:rPr>
        <w:t>MARCHÉ PUBLIC DE TRAVAUX</w:t>
      </w:r>
    </w:p>
    <w:p>
      <w:pPr>
        <w:spacing w:after="120"/>
        <w:jc w:val="center"/>
      </w:pPr>
      <w:r>
        <w:rPr>
          <w:b w:val="off"/>
          <w:sz w:val="22"/>
        </w:rPr>
        <w:t>MARCHÉ PUBLIC DE TRAVAUX</w:t>
      </w:r>
    </w:p>
    <w:p>
      <w:pPr>
        <w:spacing w:after="120"/>
        <w:jc w:val="center"/>
      </w:pPr>
      <w:r>
        <w:rPr>
          <w:b w:val="off"/>
          <w:sz w:val="22"/>
        </w:rPr>
        <w:t>CAHIER DES PRESCRIPTIONS SPECIALES</w:t>
      </w:r>
    </w:p>
    <w:p>
      <w:pPr>
        <w:spacing w:after="120"/>
        <w:jc w:val="both"/>
      </w:pPr>
      <w:r>
        <w:rPr>
          <w:b w:val="off"/>
          <w:sz w:val="22"/>
        </w:rPr>
        <w:t>AUTORITE CONTRACTANTE :</w:t>
      </w:r>
    </w:p>
    <w:p>
      <w:pPr>
        <w:spacing w:after="120"/>
        <w:jc w:val="both"/>
      </w:pPr>
      <w:r>
        <w:rPr>
          <w:b w:val="off"/>
          <w:sz w:val="22"/>
        </w:rPr>
        <w:t>{{B01-AC-01}} — {{B01-AC-02}}</w:t>
      </w:r>
    </w:p>
    <w:p>
      <w:pPr>
        <w:spacing w:after="120"/>
        <w:jc w:val="both"/>
      </w:pPr>
      <w:r>
        <w:rPr>
          <w:b w:val="off"/>
          <w:sz w:val="22"/>
        </w:rPr>
        <w:t>MARCHÉ :</w:t>
      </w:r>
    </w:p>
    <w:p>
      <w:pPr>
        <w:spacing w:after="120"/>
        <w:jc w:val="both"/>
      </w:pPr>
      <w:r>
        <w:rPr>
          <w:b w:val="off"/>
          <w:sz w:val="22"/>
        </w:rPr>
        <w:t>{{B02-OB-03}} — {{B02-OB-01}}</w:t>
      </w:r>
    </w:p>
    <w:p>
      <w:pPr>
        <w:spacing w:after="120"/>
        <w:jc w:val="both"/>
      </w:pPr>
      <w:r>
        <w:rPr>
          <w:b w:val="off"/>
          <w:sz w:val="22"/>
        </w:rPr>
        <w:t>Marché passé selon la procédure</w:t>
      </w:r>
    </w:p>
    <w:p>
      <w:pPr>
        <w:spacing w:after="120"/>
        <w:jc w:val="both"/>
      </w:pPr>
      <w:r>
        <w:rPr>
          <w:b w:val="off"/>
          <w:sz w:val="22"/>
        </w:rPr>
        <w:t>{{SI:AOO}}</w:t>
      </w:r>
    </w:p>
    <w:p>
      <w:pPr>
        <w:spacing w:after="120"/>
        <w:jc w:val="both"/>
      </w:pPr>
      <w:r>
        <w:rPr>
          <w:b w:val="off"/>
          <w:sz w:val="22"/>
        </w:rPr>
        <w:t>d'appel d'offres ouvert régie par l'article 18 du Code des Marchés Publics</w:t>
      </w:r>
    </w:p>
    <w:p>
      <w:pPr>
        <w:spacing w:after="120"/>
        <w:jc w:val="both"/>
      </w:pPr>
      <w:r>
        <w:rPr>
          <w:b w:val="off"/>
          <w:sz w:val="22"/>
        </w:rPr>
        <w:t>{{FINSI:AOO}}</w:t>
      </w:r>
    </w:p>
    <w:p>
      <w:pPr>
        <w:spacing w:after="120"/>
        <w:jc w:val="both"/>
      </w:pPr>
      <w:r>
        <w:rPr>
          <w:b w:val="off"/>
          <w:sz w:val="22"/>
        </w:rPr>
        <w:t>{{SI:PREQUALIFICATION}}</w:t>
      </w:r>
    </w:p>
    <w:p>
      <w:pPr>
        <w:spacing w:after="120"/>
        <w:jc w:val="both"/>
      </w:pPr>
      <w:r>
        <w:rPr>
          <w:b w:val="off"/>
          <w:sz w:val="22"/>
        </w:rPr>
        <w:t>d'appel d'offres ouvert avec pré - qualification régie par l'article 19 du Code des Marchés Publics</w:t>
      </w:r>
    </w:p>
    <w:p>
      <w:pPr>
        <w:spacing w:after="120"/>
        <w:jc w:val="both"/>
      </w:pPr>
      <w:r>
        <w:rPr>
          <w:b w:val="off"/>
          <w:sz w:val="22"/>
        </w:rPr>
        <w:t>{{FINSI:PREQUALIFICATION}}</w:t>
      </w:r>
    </w:p>
    <w:p>
      <w:pPr>
        <w:spacing w:after="120"/>
        <w:jc w:val="both"/>
      </w:pPr>
      <w:r>
        <w:rPr>
          <w:b w:val="off"/>
          <w:sz w:val="22"/>
        </w:rPr>
        <w:t>{{SI:DEUX-ETAPES}}</w:t>
      </w:r>
    </w:p>
    <w:p>
      <w:pPr>
        <w:spacing w:after="120"/>
        <w:jc w:val="both"/>
      </w:pPr>
      <w:r>
        <w:rPr>
          <w:b w:val="off"/>
          <w:sz w:val="22"/>
        </w:rPr>
        <w:t>d'appel d'offres en deux étapes régie par l'article 20 du Code des Marchés Publics</w:t>
      </w:r>
    </w:p>
    <w:p>
      <w:pPr>
        <w:spacing w:after="120"/>
        <w:jc w:val="both"/>
      </w:pPr>
      <w:r>
        <w:rPr>
          <w:b w:val="off"/>
          <w:sz w:val="22"/>
        </w:rPr>
        <w:t>{{FINSI:DEUX-ETAPES}}</w:t>
      </w:r>
    </w:p>
    <w:p>
      <w:pPr>
        <w:spacing w:after="120"/>
        <w:jc w:val="both"/>
      </w:pPr>
      <w:r>
        <w:rPr>
          <w:b w:val="off"/>
          <w:sz w:val="22"/>
        </w:rPr>
        <w:t>{{SI:RESTREINT}}</w:t>
      </w:r>
    </w:p>
    <w:p>
      <w:pPr>
        <w:spacing w:after="120"/>
        <w:jc w:val="both"/>
      </w:pPr>
      <w:r>
        <w:rPr>
          <w:b w:val="off"/>
          <w:sz w:val="22"/>
        </w:rPr>
        <w:t>d'appel d'offres restreint régie par l'article 21 du Code des Marchés Publics</w:t>
      </w:r>
    </w:p>
    <w:p>
      <w:pPr>
        <w:spacing w:after="120"/>
        <w:jc w:val="both"/>
      </w:pPr>
      <w:r>
        <w:rPr>
          <w:b w:val="off"/>
          <w:sz w:val="22"/>
        </w:rPr>
        <w:t>{{FINSI:RESTREINT}}</w:t>
      </w:r>
    </w:p>
    <w:p>
      <w:pPr>
        <w:spacing w:after="120"/>
        <w:jc w:val="both"/>
      </w:pPr>
      <w:r>
        <w:rPr>
          <w:b w:val="off"/>
          <w:sz w:val="22"/>
        </w:rPr>
        <w:t>PERSONNE RESPONSABLE DES MARCHES PUBLICS (PRMP) ou son DELEGUE:</w:t>
      </w:r>
    </w:p>
    <w:p>
      <w:pPr>
        <w:spacing w:after="120"/>
        <w:jc w:val="both"/>
      </w:pPr>
      <w:r>
        <w:rPr>
          <w:b w:val="off"/>
          <w:sz w:val="22"/>
        </w:rPr>
        <w:t>{{B01-AC-05}}</w:t>
      </w:r>
    </w:p>
    <w:p>
      <w:pPr>
        <w:spacing w:after="120"/>
        <w:jc w:val="both"/>
      </w:pPr>
      <w:r>
        <w:rPr>
          <w:b w:val="off"/>
          <w:sz w:val="22"/>
        </w:rPr>
        <w:t>{{SI:MOD}}</w:t>
      </w:r>
    </w:p>
    <w:p>
      <w:pPr>
        <w:spacing w:after="120"/>
        <w:jc w:val="both"/>
      </w:pPr>
      <w:r>
        <w:rPr>
          <w:b w:val="off"/>
          <w:sz w:val="22"/>
        </w:rPr>
        <w:t>MAITRE D'OUVRAGE DELEGUE : {{B02-MW-04}}</w:t>
      </w:r>
    </w:p>
    <w:p>
      <w:pPr>
        <w:spacing w:after="120"/>
        <w:jc w:val="both"/>
      </w:pPr>
      <w:r>
        <w:rPr>
          <w:b w:val="off"/>
          <w:sz w:val="22"/>
        </w:rPr>
        <w:t>{{FINSI:MOD}}</w:t>
      </w:r>
    </w:p>
    <w:p>
      <w:pPr>
        <w:spacing w:after="120"/>
        <w:jc w:val="both"/>
      </w:pPr>
      <w:r>
        <w:rPr>
          <w:b w:val="off"/>
          <w:sz w:val="22"/>
        </w:rPr>
        <w:t>{{SI:MOE}}</w:t>
      </w:r>
    </w:p>
    <w:p>
      <w:pPr>
        <w:spacing w:after="120"/>
        <w:jc w:val="both"/>
      </w:pPr>
      <w:r>
        <w:rPr>
          <w:b w:val="off"/>
          <w:sz w:val="22"/>
        </w:rPr>
        <w:t>MAITRE D'ŒUVRE : {{B02-MW-01}}</w:t>
      </w:r>
    </w:p>
    <w:p>
      <w:pPr>
        <w:spacing w:after="120"/>
        <w:jc w:val="both"/>
      </w:pPr>
      <w:r>
        <w:rPr>
          <w:b w:val="off"/>
          <w:sz w:val="22"/>
        </w:rPr>
        <w:t>{{FINSI:MOE}}</w:t>
      </w:r>
    </w:p>
    <w:p>
      <w:pPr>
        <w:spacing w:after="120"/>
        <w:jc w:val="both"/>
      </w:pPr>
      <w:r>
        <w:rPr>
          <w:b w:val="off"/>
          <w:sz w:val="22"/>
        </w:rPr>
        <w:t>Le présent Cahier des Prescriptions Spéciales comprend :</w:t>
      </w:r>
    </w:p>
    <w:p>
      <w:pPr>
        <w:spacing w:after="120"/>
        <w:jc w:val="both"/>
      </w:pPr>
      <w:r>
        <w:rPr>
          <w:b w:val="off"/>
          <w:sz w:val="22"/>
        </w:rPr>
        <w:t>Le Cahier des Clauses Administratives Particulières (CCAP),</w:t>
      </w:r>
    </w:p>
    <w:p>
      <w:pPr>
        <w:spacing w:after="120"/>
        <w:jc w:val="both"/>
      </w:pPr>
      <w:r>
        <w:rPr>
          <w:b w:val="off"/>
          <w:sz w:val="22"/>
        </w:rPr>
        <w:t>Annexe : Exemple de formule de révision de prix</w:t>
      </w:r>
    </w:p>
    <w:p>
      <w:pPr>
        <w:spacing w:after="120"/>
        <w:jc w:val="both"/>
      </w:pPr>
      <w:r>
        <w:rPr>
          <w:b w:val="off"/>
          <w:sz w:val="22"/>
        </w:rPr>
        <w:t>Annexe : Modèle de garantie bancaire de bonne exécution</w:t>
      </w:r>
    </w:p>
    <w:p>
      <w:pPr>
        <w:spacing w:after="120"/>
        <w:jc w:val="both"/>
      </w:pPr>
      <w:r>
        <w:rPr>
          <w:b w:val="off"/>
          <w:sz w:val="22"/>
        </w:rPr>
        <w:t>Annexe : Modèle de caution personnelle et solidaire de bonne exécution</w:t>
      </w:r>
    </w:p>
    <w:p>
      <w:pPr>
        <w:spacing w:after="120"/>
        <w:jc w:val="both"/>
      </w:pPr>
      <w:r>
        <w:rPr>
          <w:b w:val="off"/>
          <w:sz w:val="22"/>
        </w:rPr>
        <w:t>Annexe : Modèle de garantie bancaire de restitution d'avance</w:t>
      </w:r>
    </w:p>
    <w:p>
      <w:pPr>
        <w:spacing w:after="120"/>
        <w:jc w:val="both"/>
      </w:pPr>
      <w:r>
        <w:rPr>
          <w:b w:val="off"/>
          <w:sz w:val="22"/>
        </w:rPr>
        <w:t>Annexe : Modèle de caution personnelle et solidaire de restitution d'avance</w:t>
      </w:r>
    </w:p>
    <w:p>
      <w:pPr>
        <w:spacing w:after="120"/>
        <w:jc w:val="both"/>
      </w:pPr>
      <w:r>
        <w:rPr>
          <w:b w:val="off"/>
          <w:sz w:val="22"/>
        </w:rPr>
        <w:t>Annexe: Cadre de Bordereau de prix et de Détail quantitatif</w:t>
      </w:r>
    </w:p>
    <w:p>
      <w:pPr>
        <w:spacing w:after="120"/>
        <w:jc w:val="both"/>
      </w:pPr>
      <w:r>
        <w:rPr>
          <w:b w:val="off"/>
          <w:sz w:val="22"/>
        </w:rPr>
        <w:t>et estimatif</w:t>
      </w:r>
    </w:p>
    <w:p>
      <w:pPr>
        <w:spacing w:after="120"/>
        <w:jc w:val="both"/>
      </w:pPr>
      <w:r>
        <w:rPr>
          <w:b w:val="off"/>
          <w:sz w:val="22"/>
        </w:rPr>
        <w:t>Les Spécifications Techniques qui fixent les caractéristiques techniques de l'ouvrage objet du Marché.</w:t>
      </w:r>
    </w:p>
    <w:p>
      <w:pPr>
        <w:spacing w:after="120"/>
        <w:jc w:val="both"/>
      </w:pPr>
      <w:r>
        <w:rPr>
          <w:b w:val="off"/>
          <w:sz w:val="22"/>
        </w:rPr>
        <w:t>Annexe (à numéroter) :</w:t>
      </w:r>
    </w:p>
    <w:p>
      <w:pPr>
        <w:spacing w:after="120"/>
        <w:jc w:val="both"/>
      </w:pPr>
      <w:r>
        <w:rPr>
          <w:b w:val="off"/>
          <w:sz w:val="22"/>
        </w:rPr>
        <w:t>Liste de plans</w:t>
      </w:r>
    </w:p>
    <w:p>
      <w:pPr>
        <w:spacing w:after="120"/>
        <w:jc w:val="both"/>
      </w:pPr>
      <w:r>
        <w:rPr>
          <w:b w:val="off"/>
          <w:sz w:val="22"/>
        </w:rPr>
        <w:t>Planning d’exécution des travaux</w:t>
      </w:r>
    </w:p>
    <w:p>
      <w:pPr>
        <w:spacing w:after="120"/>
        <w:jc w:val="both"/>
      </w:pPr>
      <w:r>
        <w:rPr>
          <w:b w:val="off"/>
          <w:sz w:val="22"/>
        </w:rPr>
        <w:t>Liste du personnel cadre à affecter au chantier</w:t>
      </w:r>
    </w:p>
    <w:p>
      <w:pPr>
        <w:spacing w:after="120"/>
        <w:jc w:val="both"/>
      </w:pPr>
      <w:r>
        <w:rPr>
          <w:b w:val="off"/>
          <w:sz w:val="22"/>
        </w:rPr>
        <w:t>Liste des matériels à affecter au chantier</w:t>
      </w:r>
    </w:p>
    <w:p>
      <w:pPr>
        <w:spacing w:after="120"/>
        <w:jc w:val="both"/>
      </w:pPr>
      <w:r>
        <w:rPr>
          <w:b w:val="off"/>
          <w:sz w:val="22"/>
        </w:rPr>
        <w:t>Le Cahier des Prescriptions Spéciales ne peut être ni modifié ni complété par les candidats qui doivent souscrire à ses dispositions.</w:t>
      </w:r>
    </w:p>
    <w:p>
      <w:pPr>
        <w:spacing w:after="160"/>
        <w:jc w:val="left"/>
      </w:pPr>
      <w:r>
        <w:rPr>
          <w:b w:val="on"/>
          <w:sz w:val="22"/>
        </w:rPr>
        <w:t>CAHIER DES CLAUSES ADMINISTRATIVES PARTICULIERES (CCAP):</w:t>
      </w:r>
    </w:p>
    <w:p>
      <w:pPr>
        <w:spacing w:after="120"/>
        <w:jc w:val="both"/>
      </w:pPr>
      <w:r>
        <w:rPr>
          <w:b w:val="off"/>
          <w:sz w:val="22"/>
        </w:rPr>
        <w:t>Le CCAP est destiné à compléter les dispositions du Cahier des Clauses Administratives Générales (CCAG) afin de préciser les obligations contractuelles reflétant les circonstances auxquelles sont assujettis le Maître de l'Ouvrage et les travaux concernés. Les candidats au marché doivent souscrire à ses dispositions sans le modifier ni le compléter.</w:t>
      </w:r>
    </w:p>
    <w:p>
      <w:pPr>
        <w:spacing w:after="120"/>
        <w:jc w:val="both"/>
      </w:pPr>
      <w:r>
        <w:rPr>
          <w:b w:val="off"/>
          <w:sz w:val="22"/>
        </w:rPr>
        <w:t>Les dispositions du présent Cahier des Clauses Administratives Particulières (CCAP) précisent le CCAG en le complétant ou en dérogeant à ses dispositions. Elles suivent l'ordre et la numérotation des articles du CCAG. En cas de contradiction entre les deux documents, les clauses ci-après prévalent sur celles du CCAG.</w:t>
      </w:r>
    </w:p>
    <w:p>
      <w:pPr>
        <w:spacing w:after="160"/>
        <w:jc w:val="left"/>
      </w:pPr>
      <w:r>
        <w:rPr>
          <w:b w:val="on"/>
          <w:sz w:val="22"/>
        </w:rPr>
        <w:t>Article 1 - Objet du marché - Intervenants</w:t>
      </w:r>
    </w:p>
    <w:p>
      <w:pPr>
        <w:spacing w:after="160"/>
        <w:jc w:val="left"/>
      </w:pPr>
      <w:r>
        <w:rPr>
          <w:b w:val="on"/>
          <w:sz w:val="22"/>
        </w:rPr>
        <w:t>1.1 Objet du marché</w:t>
      </w:r>
    </w:p>
    <w:p>
      <w:pPr>
        <w:spacing w:after="120"/>
        <w:jc w:val="both"/>
      </w:pPr>
      <w:r>
        <w:rPr>
          <w:b w:val="off"/>
          <w:sz w:val="22"/>
        </w:rPr>
        <w:t>{{SI:PROJET}}</w:t>
      </w:r>
    </w:p>
    <w:p>
      <w:pPr>
        <w:spacing w:after="120"/>
        <w:jc w:val="both"/>
      </w:pPr>
      <w:r>
        <w:rPr>
          <w:b w:val="off"/>
          <w:sz w:val="22"/>
        </w:rPr>
        <w:t>Les stipulations du présent Cahier des Clauses Administratives Particulières (CCAP) concernent les travaux à effectuer dans le cadre de {{B02-OT-01}}.</w:t>
      </w:r>
    </w:p>
    <w:p>
      <w:pPr>
        <w:spacing w:after="120"/>
        <w:jc w:val="both"/>
      </w:pPr>
      <w:r>
        <w:rPr>
          <w:b w:val="off"/>
          <w:sz w:val="22"/>
        </w:rPr>
        <w:t>{{FINSI:PROJET}}</w:t>
      </w:r>
    </w:p>
    <w:p>
      <w:pPr>
        <w:spacing w:after="120"/>
        <w:jc w:val="both"/>
      </w:pPr>
      <w:r>
        <w:rPr>
          <w:b w:val="off"/>
          <w:sz w:val="22"/>
        </w:rPr>
        <w:t>{{SI:SANS-PROJET}}</w:t>
      </w:r>
    </w:p>
    <w:p>
      <w:pPr>
        <w:spacing w:after="120"/>
        <w:jc w:val="both"/>
      </w:pPr>
      <w:r>
        <w:rPr>
          <w:b w:val="off"/>
          <w:sz w:val="22"/>
        </w:rPr>
        <w:t>Les stipulations du présent Cahier des Clauses Administratives Particulières (CCAP) concernent les travaux à effectuer.</w:t>
      </w:r>
    </w:p>
    <w:p>
      <w:pPr>
        <w:spacing w:after="120"/>
        <w:jc w:val="both"/>
      </w:pPr>
      <w:r>
        <w:rPr>
          <w:b w:val="off"/>
          <w:sz w:val="22"/>
        </w:rPr>
        <w:t>{{FINSI:SANS-PROJET}}</w:t>
      </w:r>
    </w:p>
    <w:p>
      <w:pPr>
        <w:spacing w:after="120"/>
        <w:jc w:val="both"/>
      </w:pPr>
      <w:r>
        <w:rPr>
          <w:b w:val="off"/>
          <w:sz w:val="22"/>
        </w:rPr>
        <w:t>Le marché a pour objet :</w:t>
      </w:r>
    </w:p>
    <w:p>
      <w:pPr>
        <w:spacing w:after="120"/>
        <w:jc w:val="both"/>
      </w:pPr>
      <w:r>
        <w:rPr>
          <w:b w:val="off"/>
          <w:sz w:val="22"/>
        </w:rPr>
        <w:t>{{B02-OT-02}}.</w:t>
      </w:r>
    </w:p>
    <w:p>
      <w:pPr>
        <w:spacing w:after="120"/>
        <w:jc w:val="both"/>
      </w:pPr>
      <w:r>
        <w:rPr>
          <w:b w:val="off"/>
          <w:sz w:val="22"/>
        </w:rPr>
        <w:t>{{SI:ALLOTI}}</w:t>
      </w:r>
    </w:p>
    <w:p>
      <w:pPr>
        <w:spacing w:after="120"/>
        <w:jc w:val="both"/>
      </w:pPr>
      <w:r>
        <w:rPr>
          <w:b w:val="off"/>
          <w:sz w:val="22"/>
        </w:rPr>
        <w:t>Ces travaux comprennent {{B02-LV-01}} lots :</w:t>
      </w:r>
    </w:p>
    <w:p>
      <w:pPr>
        <w:spacing w:after="120"/>
        <w:jc w:val="both"/>
      </w:pPr>
      <w:r>
        <w:rPr>
          <w:b w:val="off"/>
          <w:sz w:val="22"/>
        </w:rPr>
        <w:t>{{B02-LV-02}}</w:t>
      </w:r>
    </w:p>
    <w:p>
      <w:pPr>
        <w:spacing w:after="120"/>
        <w:jc w:val="both"/>
      </w:pPr>
      <w:r>
        <w:rPr>
          <w:b w:val="off"/>
          <w:sz w:val="22"/>
        </w:rPr>
        <w:t>{{FINSI:ALLOTI}}</w:t>
      </w:r>
    </w:p>
    <w:p>
      <w:pPr>
        <w:spacing w:after="120"/>
        <w:jc w:val="both"/>
      </w:pPr>
      <w:r>
        <w:rPr>
          <w:b w:val="off"/>
          <w:sz w:val="22"/>
        </w:rPr>
        <w:t>Les caractéristiques techniques des ouvrages sont indiquées dans les Spécifications Techniques du présent Cahier des Prescriptions Spéciales (CPS).</w:t>
      </w:r>
    </w:p>
    <w:p>
      <w:pPr>
        <w:spacing w:after="120"/>
        <w:jc w:val="both"/>
      </w:pPr>
      <w:r>
        <w:rPr>
          <w:b w:val="off"/>
          <w:sz w:val="22"/>
        </w:rPr>
        <w:t>{{SI:TRANCHES}}</w:t>
      </w:r>
    </w:p>
    <w:p>
      <w:pPr>
        <w:spacing w:after="120"/>
        <w:jc w:val="both"/>
      </w:pPr>
      <w:r>
        <w:rPr>
          <w:b w:val="off"/>
          <w:sz w:val="22"/>
        </w:rPr>
        <w:t>Les travaux sont décomposés en tranches définies comme suit :</w:t>
      </w:r>
    </w:p>
    <w:p>
      <w:pPr>
        <w:spacing w:after="120"/>
        <w:jc w:val="both"/>
      </w:pPr>
      <w:r>
        <w:rPr>
          <w:b w:val="off"/>
          <w:sz w:val="22"/>
        </w:rPr>
        <w:t>- tranche ferme {{B02-LT-03}}</w:t>
      </w:r>
    </w:p>
    <w:p>
      <w:pPr>
        <w:spacing w:after="120"/>
        <w:jc w:val="both"/>
      </w:pPr>
      <w:r>
        <w:rPr>
          <w:b w:val="off"/>
          <w:sz w:val="22"/>
        </w:rPr>
        <w:t>{{SI:TRANCHE-C1}}</w:t>
      </w:r>
    </w:p>
    <w:p>
      <w:pPr>
        <w:spacing w:after="120"/>
        <w:jc w:val="both"/>
      </w:pPr>
      <w:r>
        <w:rPr>
          <w:b w:val="off"/>
          <w:sz w:val="22"/>
        </w:rPr>
        <w:t>- tranche conditionnelle 1 {{B02-LT-04}}</w:t>
      </w:r>
    </w:p>
    <w:p>
      <w:pPr>
        <w:spacing w:after="120"/>
        <w:jc w:val="both"/>
      </w:pPr>
      <w:r>
        <w:rPr>
          <w:b w:val="off"/>
          <w:sz w:val="22"/>
        </w:rPr>
        <w:t>{{FINSI:TRANCHE-C1}}</w:t>
      </w:r>
    </w:p>
    <w:p>
      <w:pPr>
        <w:spacing w:after="120"/>
        <w:jc w:val="both"/>
      </w:pPr>
      <w:r>
        <w:rPr>
          <w:b w:val="off"/>
          <w:sz w:val="22"/>
        </w:rPr>
        <w:t>{{SI:TRANCHE-C2}}</w:t>
      </w:r>
    </w:p>
    <w:p>
      <w:pPr>
        <w:spacing w:after="120"/>
        <w:jc w:val="both"/>
      </w:pPr>
      <w:r>
        <w:rPr>
          <w:b w:val="off"/>
          <w:sz w:val="22"/>
        </w:rPr>
        <w:t>- tranche conditionnelle 2 {{B02-LT-05}}</w:t>
      </w:r>
    </w:p>
    <w:p>
      <w:pPr>
        <w:spacing w:after="120"/>
        <w:jc w:val="both"/>
      </w:pPr>
      <w:r>
        <w:rPr>
          <w:b w:val="off"/>
          <w:sz w:val="22"/>
        </w:rPr>
        <w:t>{{FINSI:TRANCHE-C2}}</w:t>
      </w:r>
    </w:p>
    <w:p>
      <w:pPr>
        <w:spacing w:after="120"/>
        <w:jc w:val="both"/>
      </w:pPr>
      <w:r>
        <w:rPr>
          <w:b w:val="off"/>
          <w:sz w:val="22"/>
        </w:rPr>
        <w:t>Les délais d'affermissement de chaque tranche conditionnelle sont fixés à l'article 16 du CCAP</w:t>
      </w:r>
    </w:p>
    <w:p>
      <w:pPr>
        <w:spacing w:after="120"/>
        <w:jc w:val="both"/>
      </w:pPr>
      <w:r>
        <w:rPr>
          <w:b w:val="off"/>
          <w:sz w:val="22"/>
        </w:rPr>
        <w:t>{{FINSI:TRANCHES}}</w:t>
      </w:r>
    </w:p>
    <w:p>
      <w:pPr>
        <w:spacing w:after="160"/>
        <w:jc w:val="left"/>
      </w:pPr>
      <w:r>
        <w:rPr>
          <w:b w:val="on"/>
          <w:sz w:val="22"/>
        </w:rPr>
        <w:t>1.2.- Intervenants</w:t>
      </w:r>
    </w:p>
    <w:p>
      <w:pPr>
        <w:spacing w:after="160"/>
        <w:jc w:val="left"/>
      </w:pPr>
      <w:r>
        <w:rPr>
          <w:b w:val="on"/>
          <w:sz w:val="22"/>
        </w:rPr>
        <w:t>1.2.1. Maître de l'ouvrage</w:t>
      </w:r>
    </w:p>
    <w:p>
      <w:pPr>
        <w:spacing w:after="120"/>
        <w:jc w:val="both"/>
      </w:pPr>
      <w:r>
        <w:rPr>
          <w:b w:val="off"/>
          <w:sz w:val="22"/>
        </w:rPr>
        <w:t>{{B01-AC-01}}.</w:t>
      </w:r>
    </w:p>
    <w:p>
      <w:pPr>
        <w:spacing w:after="120"/>
        <w:jc w:val="both"/>
      </w:pPr>
      <w:r>
        <w:rPr>
          <w:b w:val="off"/>
          <w:sz w:val="22"/>
        </w:rPr>
        <w:t>PRMP ou son délégué:</w:t>
      </w:r>
    </w:p>
    <w:p>
      <w:pPr>
        <w:spacing w:after="120"/>
        <w:jc w:val="both"/>
      </w:pPr>
      <w:r>
        <w:rPr>
          <w:b w:val="off"/>
          <w:sz w:val="22"/>
        </w:rPr>
        <w:t>{{B01-AC-05}}.</w:t>
      </w:r>
    </w:p>
    <w:p>
      <w:pPr>
        <w:spacing w:after="120"/>
        <w:jc w:val="both"/>
      </w:pPr>
      <w:r>
        <w:rPr>
          <w:b w:val="off"/>
          <w:sz w:val="22"/>
        </w:rPr>
        <w:t>{{SI:MOD}}</w:t>
      </w:r>
    </w:p>
    <w:p>
      <w:pPr>
        <w:spacing w:after="160"/>
        <w:jc w:val="left"/>
      </w:pPr>
      <w:r>
        <w:rPr>
          <w:b w:val="on"/>
          <w:sz w:val="22"/>
        </w:rPr>
        <w:t>1.2.2. Maître d'Ouvrage Délégué</w:t>
      </w:r>
    </w:p>
    <w:p>
      <w:pPr>
        <w:spacing w:after="120"/>
        <w:jc w:val="both"/>
      </w:pPr>
      <w:r>
        <w:rPr>
          <w:b w:val="off"/>
          <w:sz w:val="22"/>
        </w:rPr>
        <w:t>Le Maître d'Ouvrage Délégué désigné par le Maître de l'ouvrage conformément aux dispositions de la Loi 99-03 réglementant la Maîtrise d'Ouvrage Publique et la Maîtrise d'Oeuvre Privée pour les travaux d'intérêt général et au mandat du &lt;date à compléter selon le projet&gt; est:</w:t>
      </w:r>
    </w:p>
    <w:p>
      <w:pPr>
        <w:spacing w:after="120"/>
        <w:jc w:val="both"/>
      </w:pPr>
      <w:r>
        <w:rPr>
          <w:b w:val="off"/>
          <w:sz w:val="22"/>
        </w:rPr>
        <w:t>{{B02-MW-04}}</w:t>
      </w:r>
    </w:p>
    <w:p>
      <w:pPr>
        <w:spacing w:after="120"/>
        <w:jc w:val="both"/>
      </w:pPr>
      <w:r>
        <w:rPr>
          <w:b w:val="off"/>
          <w:sz w:val="22"/>
        </w:rPr>
        <w:t>Les références au Maître de l'ouvrage dans la suite du présent CCAP concernent le Maître d'Ouvrage Délégué.</w:t>
      </w:r>
    </w:p>
    <w:p>
      <w:pPr>
        <w:spacing w:after="120"/>
        <w:jc w:val="both"/>
      </w:pPr>
      <w:r>
        <w:rPr>
          <w:b w:val="off"/>
          <w:sz w:val="22"/>
        </w:rPr>
        <w:t>{{FINSI:MOD}}</w:t>
      </w:r>
    </w:p>
    <w:p>
      <w:pPr>
        <w:spacing w:after="160"/>
        <w:jc w:val="left"/>
      </w:pPr>
      <w:r>
        <w:rPr>
          <w:b w:val="on"/>
          <w:sz w:val="22"/>
        </w:rPr>
        <w:t>1.2.3. Maître d'œuvre</w:t>
      </w:r>
    </w:p>
    <w:p>
      <w:pPr>
        <w:spacing w:after="120"/>
        <w:jc w:val="both"/>
      </w:pPr>
      <w:r>
        <w:rPr>
          <w:b w:val="off"/>
          <w:sz w:val="22"/>
        </w:rPr>
        <w:t>{{SI:MOE}}</w:t>
      </w:r>
    </w:p>
    <w:p>
      <w:pPr>
        <w:spacing w:after="120"/>
        <w:jc w:val="both"/>
      </w:pPr>
      <w:r>
        <w:rPr>
          <w:b w:val="off"/>
          <w:sz w:val="22"/>
        </w:rPr>
        <w:t>La maîtrise d'œuvre est assurée conformément au marché {{B02-MW-02}} par :</w:t>
      </w:r>
    </w:p>
    <w:p>
      <w:pPr>
        <w:spacing w:after="120"/>
        <w:jc w:val="both"/>
      </w:pPr>
      <w:r>
        <w:rPr>
          <w:b w:val="off"/>
          <w:sz w:val="22"/>
        </w:rPr>
        <w:t>{{B02-MW-01}}.</w:t>
      </w:r>
    </w:p>
    <w:p>
      <w:pPr>
        <w:spacing w:after="120"/>
        <w:jc w:val="both"/>
      </w:pPr>
      <w:r>
        <w:rPr>
          <w:b w:val="off"/>
          <w:sz w:val="22"/>
        </w:rPr>
        <w:t>{{FINSI:MOE}}</w:t>
      </w:r>
    </w:p>
    <w:p>
      <w:pPr>
        <w:spacing w:after="120"/>
        <w:jc w:val="both"/>
      </w:pPr>
      <w:r>
        <w:rPr>
          <w:b w:val="off"/>
          <w:sz w:val="22"/>
        </w:rPr>
        <w:t>{{SI:SANS-MOE}}</w:t>
      </w:r>
    </w:p>
    <w:p>
      <w:pPr>
        <w:spacing w:after="120"/>
        <w:jc w:val="both"/>
      </w:pPr>
      <w:r>
        <w:rPr>
          <w:b w:val="off"/>
          <w:sz w:val="22"/>
        </w:rPr>
        <w:t>Les tâches du maître d'œuvre sont assurées par &lt;préciser l'autorité désignée par la PRMP&gt;</w:t>
      </w:r>
    </w:p>
    <w:p>
      <w:pPr>
        <w:spacing w:after="120"/>
        <w:jc w:val="both"/>
      </w:pPr>
      <w:r>
        <w:rPr>
          <w:b w:val="off"/>
          <w:sz w:val="22"/>
        </w:rPr>
        <w:t>Dans ce cas, le maître d’œuvre sera désigné par une décision du Maître de l’ouvrage ou de la PRMP</w:t>
      </w:r>
    </w:p>
    <w:p>
      <w:pPr>
        <w:spacing w:after="120"/>
        <w:jc w:val="both"/>
      </w:pPr>
      <w:r>
        <w:rPr>
          <w:b w:val="off"/>
          <w:sz w:val="22"/>
        </w:rPr>
        <w:t>{{FINSI:SANS-MOE}}</w:t>
      </w:r>
    </w:p>
    <w:p>
      <w:pPr>
        <w:spacing w:after="160"/>
        <w:jc w:val="left"/>
      </w:pPr>
      <w:r>
        <w:rPr>
          <w:b w:val="on"/>
          <w:sz w:val="22"/>
        </w:rPr>
        <w:t>Article 2 - Notifications à l'Entrepreneur (CCAG Article 2.2.2)</w:t>
      </w:r>
    </w:p>
    <w:p>
      <w:pPr>
        <w:spacing w:after="120"/>
        <w:jc w:val="both"/>
      </w:pPr>
      <w:r>
        <w:rPr>
          <w:b w:val="off"/>
          <w:sz w:val="22"/>
        </w:rPr>
        <w:t>A défaut pour l'Entrepreneur d'élire domicile à proximité des travaux et de faire connaître l'adresse de ce domicile à la Personne Responsable des Marchés Publics et/ou au maître d'œuvre, toutes les notifications qui se rapportent au marché seront valablement effectuées à l'adresse mentionnée ci-après:</w:t>
      </w:r>
    </w:p>
    <w:p>
      <w:pPr>
        <w:spacing w:after="120"/>
        <w:jc w:val="both"/>
      </w:pPr>
      <w:r>
        <w:rPr>
          <w:b w:val="off"/>
          <w:sz w:val="22"/>
        </w:rPr>
        <w:t>{{B09-NE-01}}</w:t>
      </w:r>
    </w:p>
    <w:p>
      <w:pPr>
        <w:spacing w:after="160"/>
        <w:jc w:val="left"/>
      </w:pPr>
      <w:r>
        <w:rPr>
          <w:b w:val="on"/>
          <w:sz w:val="22"/>
        </w:rPr>
        <w:t>Article 3 - Estimations des engagements financiers du Maître de l'Ouvrage (CCAG Article 2.2.4)</w:t>
      </w:r>
    </w:p>
    <w:p>
      <w:pPr>
        <w:spacing w:after="120"/>
        <w:jc w:val="both"/>
      </w:pPr>
      <w:r>
        <w:rPr>
          <w:b w:val="off"/>
          <w:sz w:val="22"/>
        </w:rPr>
        <w:t>{{SI:ESTIMATIONS}}</w:t>
      </w:r>
    </w:p>
    <w:p>
      <w:pPr>
        <w:spacing w:after="120"/>
        <w:jc w:val="both"/>
      </w:pPr>
      <w:r>
        <w:rPr>
          <w:b w:val="off"/>
          <w:sz w:val="22"/>
        </w:rPr>
        <w:t>La communication par l'Entrepreneur des estimations de tous les paiements auquel il a droit sera effectuée: {{B08-EF-01}} jours avant la fin de chaque trimestre et/ou à la demande de ce dernier</w:t>
      </w:r>
    </w:p>
    <w:p>
      <w:pPr>
        <w:spacing w:after="120"/>
        <w:jc w:val="both"/>
      </w:pPr>
      <w:r>
        <w:rPr>
          <w:b w:val="off"/>
          <w:sz w:val="22"/>
        </w:rPr>
        <w:t>{{FINSI:ESTIMATIONS}}</w:t>
      </w:r>
    </w:p>
    <w:p>
      <w:pPr>
        <w:spacing w:after="160"/>
        <w:jc w:val="left"/>
      </w:pPr>
      <w:r>
        <w:rPr>
          <w:b w:val="on"/>
          <w:sz w:val="22"/>
        </w:rPr>
        <w:t>Article 4 - Groupements (CCAG Article 2.3)</w:t>
      </w:r>
    </w:p>
    <w:p>
      <w:pPr>
        <w:spacing w:after="120"/>
        <w:jc w:val="both"/>
      </w:pPr>
      <w:r>
        <w:rPr>
          <w:b w:val="off"/>
          <w:sz w:val="22"/>
        </w:rPr>
        <w:t>{{SI:GROUPEMENT-SOLIDAIRE}}</w:t>
      </w:r>
    </w:p>
    <w:p>
      <w:pPr>
        <w:spacing w:after="120"/>
        <w:jc w:val="both"/>
      </w:pPr>
      <w:r>
        <w:rPr>
          <w:b w:val="off"/>
          <w:sz w:val="22"/>
        </w:rPr>
        <w:t>Les Entrepreneurs groupés seront considérés comme solidaires, chacun des membres du groupement étant engagé pour la totalité du marché.</w:t>
      </w:r>
    </w:p>
    <w:p>
      <w:pPr>
        <w:spacing w:after="120"/>
        <w:jc w:val="both"/>
      </w:pPr>
      <w:r>
        <w:rPr>
          <w:b w:val="off"/>
          <w:sz w:val="22"/>
        </w:rPr>
        <w:t>{{FINSI:GROUPEMENT-SOLIDAIRE}}</w:t>
      </w:r>
    </w:p>
    <w:p>
      <w:pPr>
        <w:spacing w:after="120"/>
        <w:jc w:val="both"/>
      </w:pPr>
      <w:r>
        <w:rPr>
          <w:b w:val="off"/>
          <w:sz w:val="22"/>
        </w:rPr>
        <w:t>{{SI:GROUPEMENT-LIBRE}}</w:t>
      </w:r>
    </w:p>
    <w:p>
      <w:pPr>
        <w:spacing w:after="120"/>
        <w:jc w:val="both"/>
      </w:pPr>
      <w:r>
        <w:rPr>
          <w:b w:val="off"/>
          <w:sz w:val="22"/>
        </w:rPr>
        <w:t>Les Entrepreneurs groupés seront considérés comme solidaires, chacun des membres du groupement étant engagé pour la totalité du marché.</w:t>
      </w:r>
    </w:p>
    <w:p>
      <w:pPr>
        <w:spacing w:after="120"/>
        <w:jc w:val="both"/>
      </w:pPr>
      <w:r>
        <w:rPr>
          <w:b w:val="off"/>
          <w:sz w:val="22"/>
        </w:rPr>
        <w:t>Les Entrepreneurs groupés seront considérés comme conjoints chacun des Entrepreneurs étant responsable de la réalisation du ou des lots qui lui sont assignés. Le mandataire des membres du groupement désigné dans l'Acte d'Engagement est solidaire de chacun des Entrepreneurs groupés dans les obligations contractuelles de ceux-ci à l'égard du Maître de l'Ouvrage.</w:t>
      </w:r>
    </w:p>
    <w:p>
      <w:pPr>
        <w:spacing w:after="120"/>
        <w:jc w:val="both"/>
      </w:pPr>
      <w:r>
        <w:rPr>
          <w:b w:val="off"/>
          <w:sz w:val="22"/>
        </w:rPr>
        <w:t>{{FINSI:GROUPEMENT-LIBRE}}</w:t>
      </w:r>
    </w:p>
    <w:p>
      <w:pPr>
        <w:spacing w:after="160"/>
        <w:jc w:val="left"/>
      </w:pPr>
      <w:r>
        <w:rPr>
          <w:b w:val="on"/>
          <w:sz w:val="22"/>
        </w:rPr>
        <w:t>Article 5 - Marchés à tranches conditionnelles (CCAG Article 2.6)</w:t>
      </w:r>
    </w:p>
    <w:p>
      <w:pPr>
        <w:spacing w:after="120"/>
        <w:jc w:val="both"/>
      </w:pPr>
      <w:r>
        <w:rPr>
          <w:b w:val="off"/>
          <w:sz w:val="22"/>
        </w:rPr>
        <w:t>{{SI:TRANCHES}}</w:t>
      </w:r>
    </w:p>
    <w:p>
      <w:pPr>
        <w:spacing w:after="120"/>
        <w:jc w:val="both"/>
      </w:pPr>
      <w:r>
        <w:rPr>
          <w:b w:val="off"/>
          <w:sz w:val="22"/>
        </w:rPr>
        <w:t>Délai de notification de l’ordre de service prescrivant de commencer les travaux de la tranche conditionnelle n°1: {{B02-LT-06}} à compter du début du délai d’exécution de la tranche ferme.</w:t>
      </w:r>
    </w:p>
    <w:p>
      <w:pPr>
        <w:spacing w:after="120"/>
        <w:jc w:val="both"/>
      </w:pPr>
      <w:r>
        <w:rPr>
          <w:b w:val="off"/>
          <w:sz w:val="22"/>
        </w:rPr>
        <w:t>{{SI:TRANCHE-C2}}</w:t>
      </w:r>
    </w:p>
    <w:p>
      <w:pPr>
        <w:spacing w:after="120"/>
        <w:jc w:val="both"/>
      </w:pPr>
      <w:r>
        <w:rPr>
          <w:b w:val="off"/>
          <w:sz w:val="22"/>
        </w:rPr>
        <w:t>Délai de notification de l’ordre de service prescrivant de commencer les travaux de la tranche conditionnelle n°2: {{B02-LT-07}} à compter du début du délai d’exécution de la tranche n°1.</w:t>
      </w:r>
    </w:p>
    <w:p>
      <w:pPr>
        <w:spacing w:after="120"/>
        <w:jc w:val="both"/>
      </w:pPr>
      <w:r>
        <w:rPr>
          <w:b w:val="off"/>
          <w:sz w:val="22"/>
        </w:rPr>
        <w:t>{{FINSI:TRANCHE-C2}}</w:t>
      </w:r>
    </w:p>
    <w:p>
      <w:pPr>
        <w:spacing w:after="120"/>
        <w:jc w:val="both"/>
      </w:pPr>
      <w:r>
        <w:rPr>
          <w:b w:val="off"/>
          <w:sz w:val="22"/>
        </w:rPr>
        <w:t>{{FINSI:TRANCHES}}</w:t>
      </w:r>
    </w:p>
    <w:p>
      <w:pPr>
        <w:spacing w:after="160"/>
        <w:jc w:val="left"/>
      </w:pPr>
      <w:r>
        <w:rPr>
          <w:b w:val="on"/>
          <w:sz w:val="22"/>
        </w:rPr>
        <w:t>Article 6 - Documents contractuels (CCAG Article 3)</w:t>
      </w:r>
    </w:p>
    <w:p>
      <w:pPr>
        <w:spacing w:after="120"/>
        <w:jc w:val="both"/>
      </w:pPr>
      <w:r>
        <w:rPr>
          <w:b w:val="off"/>
          <w:sz w:val="22"/>
        </w:rPr>
        <w:t>L’ordre de priorité des pièces contractuelles est celui fixé par l’article 3 du CCAG</w:t>
      </w:r>
    </w:p>
    <w:p>
      <w:pPr>
        <w:spacing w:after="120"/>
        <w:jc w:val="both"/>
      </w:pPr>
      <w:r>
        <w:rPr>
          <w:b w:val="off"/>
          <w:sz w:val="22"/>
        </w:rPr>
        <w:t>Constituent des documents contractuels en sus des documents prévus par les CCAG :</w:t>
      </w:r>
    </w:p>
    <w:p>
      <w:pPr>
        <w:spacing w:after="120"/>
        <w:jc w:val="both"/>
      </w:pPr>
      <w:r>
        <w:rPr>
          <w:b w:val="off"/>
          <w:sz w:val="22"/>
        </w:rPr>
        <w:t>{{B09-DC-01}}</w:t>
      </w:r>
    </w:p>
    <w:p>
      <w:pPr>
        <w:spacing w:after="120"/>
        <w:jc w:val="both"/>
      </w:pPr>
      <w:r>
        <w:rPr>
          <w:b w:val="off"/>
          <w:sz w:val="22"/>
        </w:rPr>
        <w:t>{{SI:BATIMENT}}</w:t>
      </w:r>
    </w:p>
    <w:p>
      <w:pPr>
        <w:spacing w:after="120"/>
        <w:jc w:val="both"/>
      </w:pPr>
      <w:r>
        <w:rPr>
          <w:b w:val="off"/>
          <w:sz w:val="22"/>
        </w:rPr>
        <w:t>i) - Arrêté n° 738 du 8 avril 1961 du Ministère des Travaux Publics portant approbation du Cahier des prescriptions communes (CPC) applicable à tous les travaux et ses modificatifs publiées QUINZE (15) jours précédant la date limite fixée pour la remise des offres soit le</w:t>
      </w:r>
    </w:p>
    <w:p>
      <w:pPr>
        <w:spacing w:after="120"/>
        <w:jc w:val="both"/>
      </w:pPr>
      <w:r>
        <w:rPr>
          <w:b w:val="off"/>
          <w:sz w:val="22"/>
        </w:rPr>
        <w:t>- Arrêté n° 3635 du31.12.64 portant approbation et la mise en application du Cahier des Prescriptions Techniques pour les Travaux de Bâtiments à Madagascar dit TBM et ses modificatifs publiés QUINZE (15) jours précèdant la date limite fixée pour la remise des offres</w:t>
      </w:r>
    </w:p>
    <w:p>
      <w:pPr>
        <w:spacing w:after="120"/>
        <w:jc w:val="both"/>
      </w:pPr>
      <w:r>
        <w:rPr>
          <w:b w:val="off"/>
          <w:sz w:val="22"/>
        </w:rPr>
        <w:t>- Arrêté n° 3634 du 31.12.64 portant approbation des conditions particulières de normalisation des éléments des bâtiments construits à Madagascar, et ses modificatifs publiées QUINZE (15) jours précédant la date limite fixée pour la remise des offres soit le</w:t>
      </w:r>
    </w:p>
    <w:p>
      <w:pPr>
        <w:spacing w:after="120"/>
        <w:jc w:val="both"/>
      </w:pPr>
      <w:r>
        <w:rPr>
          <w:b w:val="off"/>
          <w:sz w:val="22"/>
        </w:rPr>
        <w:t>{{FINSI:BATIMENT}}</w:t>
      </w:r>
    </w:p>
    <w:p>
      <w:pPr>
        <w:spacing w:after="160"/>
        <w:jc w:val="left"/>
      </w:pPr>
      <w:r>
        <w:rPr>
          <w:b w:val="on"/>
          <w:sz w:val="22"/>
        </w:rPr>
        <w:t>Article 7 - Forme et montant de la garantie de bonne exécution (CCAG Article 4)</w:t>
      </w:r>
    </w:p>
    <w:p>
      <w:pPr>
        <w:spacing w:after="160"/>
        <w:jc w:val="left"/>
      </w:pPr>
      <w:r>
        <w:rPr>
          <w:b w:val="on"/>
          <w:sz w:val="22"/>
        </w:rPr>
        <w:t>7.1. Cautionnement, Garantie Bancaire (CCAG Article 4.1)</w:t>
      </w:r>
    </w:p>
    <w:p>
      <w:pPr>
        <w:spacing w:after="120"/>
        <w:jc w:val="both"/>
      </w:pPr>
      <w:r>
        <w:rPr>
          <w:b w:val="off"/>
          <w:sz w:val="22"/>
        </w:rPr>
        <w:t>{{SI:SANS-GBE}}</w:t>
      </w:r>
    </w:p>
    <w:p>
      <w:pPr>
        <w:spacing w:after="120"/>
        <w:jc w:val="both"/>
      </w:pPr>
      <w:r>
        <w:rPr>
          <w:b w:val="off"/>
          <w:sz w:val="22"/>
        </w:rPr>
        <w:t>Aucune garantie d'exécution n'est requise.</w:t>
      </w:r>
    </w:p>
    <w:p>
      <w:pPr>
        <w:spacing w:after="120"/>
        <w:jc w:val="both"/>
      </w:pPr>
      <w:r>
        <w:rPr>
          <w:b w:val="off"/>
          <w:sz w:val="22"/>
        </w:rPr>
        <w:t>{{FINSI:SANS-GBE}}</w:t>
      </w:r>
    </w:p>
    <w:p>
      <w:pPr>
        <w:spacing w:after="120"/>
        <w:jc w:val="both"/>
      </w:pPr>
      <w:r>
        <w:rPr>
          <w:b w:val="off"/>
          <w:sz w:val="22"/>
        </w:rPr>
        <w:t>{{SI:GBE}}</w:t>
      </w:r>
    </w:p>
    <w:p>
      <w:pPr>
        <w:spacing w:after="120"/>
        <w:jc w:val="both"/>
      </w:pPr>
      <w:r>
        <w:rPr>
          <w:b w:val="off"/>
          <w:sz w:val="22"/>
        </w:rPr>
        <w:t>Le montant de la garantie de bonne exécution est fixé à :</w:t>
      </w:r>
    </w:p>
    <w:p>
      <w:pPr>
        <w:spacing w:after="120"/>
        <w:jc w:val="both"/>
      </w:pPr>
      <w:r>
        <w:rPr>
          <w:b w:val="off"/>
          <w:sz w:val="22"/>
        </w:rPr>
        <w:t>{{B05-GE-05.chiffres}} % du Prix du Marché toutes taxes comprises.</w:t>
      </w:r>
    </w:p>
    <w:p>
      <w:pPr>
        <w:spacing w:after="120"/>
        <w:jc w:val="both"/>
      </w:pPr>
      <w:r>
        <w:rPr>
          <w:b w:val="off"/>
          <w:sz w:val="22"/>
        </w:rPr>
        <w:t>{{SI:GBE-DEVISES}}</w:t>
      </w:r>
    </w:p>
    <w:p>
      <w:pPr>
        <w:spacing w:after="120"/>
        <w:jc w:val="both"/>
      </w:pPr>
      <w:r>
        <w:rPr>
          <w:b w:val="off"/>
          <w:sz w:val="22"/>
        </w:rPr>
        <w:t>Montant de la garantie de bonne exécution :</w:t>
      </w:r>
    </w:p>
    <w:p>
      <w:pPr>
        <w:spacing w:after="120"/>
        <w:jc w:val="both"/>
      </w:pPr>
      <w:r>
        <w:rPr>
          <w:b w:val="off"/>
          <w:sz w:val="22"/>
        </w:rPr>
        <w:t>{{B05-GE-02}} de la partie exprimée en devises du Prix du Marché toutes taxes comprises,</w:t>
      </w:r>
    </w:p>
    <w:p>
      <w:pPr>
        <w:spacing w:after="120"/>
        <w:jc w:val="both"/>
      </w:pPr>
      <w:r>
        <w:rPr>
          <w:b w:val="off"/>
          <w:sz w:val="22"/>
        </w:rPr>
        <w:t>et</w:t>
      </w:r>
    </w:p>
    <w:p>
      <w:pPr>
        <w:spacing w:after="120"/>
        <w:jc w:val="both"/>
      </w:pPr>
      <w:r>
        <w:rPr>
          <w:b w:val="off"/>
          <w:sz w:val="22"/>
        </w:rPr>
        <w:t>{{B05-GE-05.chiffres}} % de la partie exprimée en Ariary du Prix du Marché toutes taxes comprises.</w:t>
      </w:r>
    </w:p>
    <w:p>
      <w:pPr>
        <w:spacing w:after="120"/>
        <w:jc w:val="both"/>
      </w:pPr>
      <w:r>
        <w:rPr>
          <w:b w:val="off"/>
          <w:sz w:val="22"/>
        </w:rPr>
        <w:t>{{FINSI:GBE-DEVISES}}</w:t>
      </w:r>
    </w:p>
    <w:p>
      <w:pPr>
        <w:spacing w:after="120"/>
        <w:jc w:val="both"/>
      </w:pPr>
      <w:r>
        <w:rPr>
          <w:b w:val="off"/>
          <w:sz w:val="22"/>
        </w:rPr>
        <w:t>La garantie de bonne exécution devra être fournie sous forme:</w:t>
      </w:r>
    </w:p>
    <w:p>
      <w:pPr>
        <w:spacing w:after="120"/>
        <w:jc w:val="both"/>
      </w:pPr>
      <w:r>
        <w:rPr>
          <w:b w:val="off"/>
          <w:sz w:val="22"/>
        </w:rPr>
        <w:t>{{SI:GBE-BANCAIRE}}</w:t>
      </w:r>
    </w:p>
    <w:p>
      <w:pPr>
        <w:spacing w:after="120"/>
        <w:jc w:val="both"/>
      </w:pPr>
      <w:r>
        <w:rPr>
          <w:b w:val="off"/>
          <w:sz w:val="22"/>
        </w:rPr>
        <w:t>- soit de garantie bancaire conformément au modèle figurant en Annexe au présent CCAP;</w:t>
      </w:r>
    </w:p>
    <w:p>
      <w:pPr>
        <w:spacing w:after="120"/>
        <w:jc w:val="both"/>
      </w:pPr>
      <w:r>
        <w:rPr>
          <w:b w:val="off"/>
          <w:sz w:val="22"/>
        </w:rPr>
        <w:t>{{FINSI:GBE-BANCAIRE}}</w:t>
      </w:r>
    </w:p>
    <w:p>
      <w:pPr>
        <w:spacing w:after="120"/>
        <w:jc w:val="both"/>
      </w:pPr>
      <w:r>
        <w:rPr>
          <w:b w:val="off"/>
          <w:sz w:val="22"/>
        </w:rPr>
        <w:t>{{SI:GBE-CAUTION}}</w:t>
      </w:r>
    </w:p>
    <w:p>
      <w:pPr>
        <w:spacing w:after="120"/>
        <w:jc w:val="both"/>
      </w:pPr>
      <w:r>
        <w:rPr>
          <w:b w:val="off"/>
          <w:sz w:val="22"/>
        </w:rPr>
        <w:t>- soit une caution personnelle et solidaire conformément au modèle figurant en Annexe au présent CCAP;</w:t>
      </w:r>
    </w:p>
    <w:p>
      <w:pPr>
        <w:spacing w:after="120"/>
        <w:jc w:val="both"/>
      </w:pPr>
      <w:r>
        <w:rPr>
          <w:b w:val="off"/>
          <w:sz w:val="22"/>
        </w:rPr>
        <w:t>{{FINSI:GBE-CAUTION}}</w:t>
      </w:r>
    </w:p>
    <w:p>
      <w:pPr>
        <w:spacing w:after="120"/>
        <w:jc w:val="both"/>
      </w:pPr>
      <w:r>
        <w:rPr>
          <w:b w:val="off"/>
          <w:sz w:val="22"/>
        </w:rPr>
        <w:t>{{SI:GBE-CHEQUE}}</w:t>
      </w:r>
    </w:p>
    <w:p>
      <w:pPr>
        <w:spacing w:after="120"/>
        <w:jc w:val="both"/>
      </w:pPr>
      <w:r>
        <w:rPr>
          <w:b w:val="off"/>
          <w:sz w:val="22"/>
        </w:rPr>
        <w:t>- soit un chèque de banque établi à l'ordre de {{B05-GQ-04}}.</w:t>
      </w:r>
    </w:p>
    <w:p>
      <w:pPr>
        <w:spacing w:after="120"/>
        <w:jc w:val="both"/>
      </w:pPr>
      <w:r>
        <w:rPr>
          <w:b w:val="off"/>
          <w:sz w:val="22"/>
        </w:rPr>
        <w:t>{{FINSI:GBE-CHEQUE}}</w:t>
      </w:r>
    </w:p>
    <w:p>
      <w:pPr>
        <w:spacing w:after="120"/>
        <w:jc w:val="both"/>
      </w:pPr>
      <w:r>
        <w:rPr>
          <w:b w:val="off"/>
          <w:sz w:val="22"/>
        </w:rPr>
        <w:t>{{SI:LIBERATION-MOITIE}}</w:t>
      </w:r>
    </w:p>
    <w:p>
      <w:pPr>
        <w:spacing w:after="120"/>
        <w:jc w:val="both"/>
      </w:pPr>
      <w:r>
        <w:rPr>
          <w:b w:val="off"/>
          <w:sz w:val="22"/>
        </w:rPr>
        <w:t>La garantie de bonne exécution est libérée de 50% dans les trente (30) jours de la délivrance du certificat de réception provisoire, le solde étant libéré dans les trente (30) jours de la délivrance du certificat de réception définitive.</w:t>
      </w:r>
    </w:p>
    <w:p>
      <w:pPr>
        <w:spacing w:after="120"/>
        <w:jc w:val="both"/>
      </w:pPr>
      <w:r>
        <w:rPr>
          <w:b w:val="off"/>
          <w:sz w:val="22"/>
        </w:rPr>
        <w:t>{{FINSI:LIBERATION-MOITIE}}</w:t>
      </w:r>
    </w:p>
    <w:p>
      <w:pPr>
        <w:spacing w:after="120"/>
        <w:jc w:val="both"/>
      </w:pPr>
      <w:r>
        <w:rPr>
          <w:b w:val="off"/>
          <w:sz w:val="22"/>
        </w:rPr>
        <w:t>{{SI:LIBERATION-TOTALE}}</w:t>
      </w:r>
    </w:p>
    <w:p>
      <w:pPr>
        <w:spacing w:after="120"/>
        <w:jc w:val="both"/>
      </w:pPr>
      <w:r>
        <w:rPr>
          <w:b w:val="off"/>
          <w:sz w:val="22"/>
        </w:rPr>
        <w:t>La garantie de bonne exécution est libérée à 100% dans les 30 jours suivant la date de la réception définitive</w:t>
      </w:r>
    </w:p>
    <w:p>
      <w:pPr>
        <w:spacing w:after="120"/>
        <w:jc w:val="both"/>
      </w:pPr>
      <w:r>
        <w:rPr>
          <w:b w:val="off"/>
          <w:sz w:val="22"/>
        </w:rPr>
        <w:t>{{FINSI:LIBERATION-TOTALE}}</w:t>
      </w:r>
    </w:p>
    <w:p>
      <w:pPr>
        <w:spacing w:after="120"/>
        <w:jc w:val="both"/>
      </w:pPr>
      <w:r>
        <w:rPr>
          <w:b w:val="off"/>
          <w:sz w:val="22"/>
        </w:rPr>
        <w:t>{{SI:LIBERATION-PROVISOIRE}}</w:t>
      </w:r>
    </w:p>
    <w:p>
      <w:pPr>
        <w:spacing w:after="120"/>
        <w:jc w:val="both"/>
      </w:pPr>
      <w:r>
        <w:rPr>
          <w:b w:val="off"/>
          <w:sz w:val="22"/>
        </w:rPr>
        <w:t>La garantie de bonne exécution est libérée à 100% dans les 30 jours suivant la date de la réception provisoire</w:t>
      </w:r>
    </w:p>
    <w:p>
      <w:pPr>
        <w:spacing w:after="120"/>
        <w:jc w:val="both"/>
      </w:pPr>
      <w:r>
        <w:rPr>
          <w:b w:val="off"/>
          <w:sz w:val="22"/>
        </w:rPr>
        <w:t>{{FINSI:LIBERATION-PROVISOIRE}}</w:t>
      </w:r>
    </w:p>
    <w:p>
      <w:pPr>
        <w:spacing w:after="120"/>
        <w:jc w:val="both"/>
      </w:pPr>
      <w:r>
        <w:rPr>
          <w:b w:val="off"/>
          <w:sz w:val="22"/>
        </w:rPr>
        <w:t>{{FINSI:GBE}}</w:t>
      </w:r>
    </w:p>
    <w:p>
      <w:pPr>
        <w:spacing w:after="160"/>
        <w:jc w:val="left"/>
      </w:pPr>
      <w:r>
        <w:rPr>
          <w:b w:val="on"/>
          <w:sz w:val="22"/>
        </w:rPr>
        <w:t>7.2. Retenue de garantie (CCAG Article 4.2)</w:t>
      </w:r>
    </w:p>
    <w:p>
      <w:pPr>
        <w:spacing w:after="120"/>
        <w:jc w:val="both"/>
      </w:pPr>
      <w:r>
        <w:rPr>
          <w:b w:val="off"/>
          <w:sz w:val="22"/>
        </w:rPr>
        <w:t>{{SI:RETENUE-NON}}</w:t>
      </w:r>
    </w:p>
    <w:p>
      <w:pPr>
        <w:spacing w:after="120"/>
        <w:jc w:val="both"/>
      </w:pPr>
      <w:r>
        <w:rPr>
          <w:b w:val="off"/>
          <w:sz w:val="22"/>
        </w:rPr>
        <w:t>Non applicable</w:t>
      </w:r>
    </w:p>
    <w:p>
      <w:pPr>
        <w:spacing w:after="120"/>
        <w:jc w:val="both"/>
      </w:pPr>
      <w:r>
        <w:rPr>
          <w:b w:val="off"/>
          <w:sz w:val="22"/>
        </w:rPr>
        <w:t>{{FINSI:RETENUE-NON}}</w:t>
      </w:r>
    </w:p>
    <w:p>
      <w:pPr>
        <w:spacing w:after="120"/>
        <w:jc w:val="both"/>
      </w:pPr>
      <w:r>
        <w:rPr>
          <w:b w:val="off"/>
          <w:sz w:val="22"/>
        </w:rPr>
        <w:t>{{SI:RETENUE-OUI}}</w:t>
      </w:r>
    </w:p>
    <w:p>
      <w:pPr>
        <w:spacing w:after="120"/>
        <w:jc w:val="both"/>
      </w:pPr>
      <w:r>
        <w:rPr>
          <w:b w:val="off"/>
          <w:sz w:val="22"/>
        </w:rPr>
        <w:t>Une retenue de garantie de {{B05-RG-02.chiffres}} % est exercée sur le montant de chaque acompte et du solde par le comptable assignataire des paiements. La retenue de garantie peut être remplacée par une garantie bancaire, ou une caution, comme indiqué au paragraphe 7.1 ci - dessus.</w:t>
      </w:r>
    </w:p>
    <w:p>
      <w:pPr>
        <w:spacing w:after="120"/>
        <w:jc w:val="both"/>
      </w:pPr>
      <w:r>
        <w:rPr>
          <w:b w:val="off"/>
          <w:sz w:val="22"/>
        </w:rPr>
        <w:t>{{FINSI:RETENUE-OUI}}</w:t>
      </w:r>
    </w:p>
    <w:p>
      <w:pPr>
        <w:spacing w:after="160"/>
        <w:jc w:val="left"/>
      </w:pPr>
      <w:r>
        <w:rPr>
          <w:b w:val="on"/>
          <w:sz w:val="22"/>
        </w:rPr>
        <w:t>7.3. Garantie de restitution d'avance (CCAG Article 4.3)</w:t>
      </w:r>
    </w:p>
    <w:p>
      <w:pPr>
        <w:spacing w:after="120"/>
        <w:jc w:val="both"/>
      </w:pPr>
      <w:r>
        <w:rPr>
          <w:b w:val="off"/>
          <w:sz w:val="22"/>
        </w:rPr>
        <w:t>{{SI:RESTITUTION-NON}}</w:t>
      </w:r>
    </w:p>
    <w:p>
      <w:pPr>
        <w:spacing w:after="120"/>
        <w:jc w:val="both"/>
      </w:pPr>
      <w:r>
        <w:rPr>
          <w:b w:val="off"/>
          <w:sz w:val="22"/>
        </w:rPr>
        <w:t>Non applicable</w:t>
      </w:r>
    </w:p>
    <w:p>
      <w:pPr>
        <w:spacing w:after="120"/>
        <w:jc w:val="both"/>
      </w:pPr>
      <w:r>
        <w:rPr>
          <w:b w:val="off"/>
          <w:sz w:val="22"/>
        </w:rPr>
        <w:t>{{FINSI:RESTITUTION-NON}}</w:t>
      </w:r>
    </w:p>
    <w:p>
      <w:pPr>
        <w:spacing w:after="120"/>
        <w:jc w:val="both"/>
      </w:pPr>
      <w:r>
        <w:rPr>
          <w:b w:val="off"/>
          <w:sz w:val="22"/>
        </w:rPr>
        <w:t>{{SI:RESTITUTION-OUI}}</w:t>
      </w:r>
    </w:p>
    <w:p>
      <w:pPr>
        <w:spacing w:after="120"/>
        <w:jc w:val="both"/>
      </w:pPr>
      <w:r>
        <w:rPr>
          <w:b w:val="off"/>
          <w:sz w:val="22"/>
        </w:rPr>
        <w:t>Si l'Entrepreneur choisit de recevoir l'avance forfaitaire il doit joindre à la demande de paiement de cette avance une garantie bancaire à première demande ou une caution de restitution d’avance, conforme au modèle annexé au présent CCAP.</w:t>
      </w:r>
    </w:p>
    <w:p>
      <w:pPr>
        <w:spacing w:after="120"/>
        <w:jc w:val="both"/>
      </w:pPr>
      <w:r>
        <w:rPr>
          <w:b w:val="off"/>
          <w:sz w:val="22"/>
        </w:rPr>
        <w:t>{{FINSI:RESTITUTION-OUI}}</w:t>
      </w:r>
    </w:p>
    <w:p>
      <w:pPr>
        <w:spacing w:after="160"/>
        <w:jc w:val="left"/>
      </w:pPr>
      <w:r>
        <w:rPr>
          <w:b w:val="on"/>
          <w:sz w:val="22"/>
        </w:rPr>
        <w:t>7.4. Autres garanties (CCAG Article 4.3)</w:t>
      </w:r>
    </w:p>
    <w:p>
      <w:pPr>
        <w:spacing w:after="120"/>
        <w:jc w:val="both"/>
      </w:pPr>
      <w:r>
        <w:rPr>
          <w:b w:val="off"/>
          <w:sz w:val="22"/>
        </w:rPr>
        <w:t>{{SI:AUTRES-GARANTIES-NON}}</w:t>
      </w:r>
    </w:p>
    <w:p>
      <w:pPr>
        <w:spacing w:after="120"/>
        <w:jc w:val="both"/>
      </w:pPr>
      <w:r>
        <w:rPr>
          <w:b w:val="off"/>
          <w:sz w:val="22"/>
        </w:rPr>
        <w:t>Non applicable</w:t>
      </w:r>
    </w:p>
    <w:p>
      <w:pPr>
        <w:spacing w:after="120"/>
        <w:jc w:val="both"/>
      </w:pPr>
      <w:r>
        <w:rPr>
          <w:b w:val="off"/>
          <w:sz w:val="22"/>
        </w:rPr>
        <w:t>{{FINSI:AUTRES-GARANTIES-NON}}</w:t>
      </w:r>
    </w:p>
    <w:p>
      <w:pPr>
        <w:spacing w:after="120"/>
        <w:jc w:val="both"/>
      </w:pPr>
      <w:r>
        <w:rPr>
          <w:b w:val="off"/>
          <w:sz w:val="22"/>
        </w:rPr>
        <w:t>{{SI:AUTRES-GARANTIES-OUI}}</w:t>
      </w:r>
    </w:p>
    <w:p>
      <w:pPr>
        <w:spacing w:after="120"/>
        <w:jc w:val="both"/>
      </w:pPr>
      <w:r>
        <w:rPr>
          <w:b w:val="off"/>
          <w:sz w:val="22"/>
        </w:rPr>
        <w:t>{{B05-AG-01}}</w:t>
      </w:r>
    </w:p>
    <w:p>
      <w:pPr>
        <w:spacing w:after="120"/>
        <w:jc w:val="both"/>
      </w:pPr>
      <w:r>
        <w:rPr>
          <w:b w:val="off"/>
          <w:sz w:val="22"/>
        </w:rPr>
        <w:t>{{FINSI:AUTRES-GARANTIES-OUI}}</w:t>
      </w:r>
    </w:p>
    <w:p>
      <w:pPr>
        <w:spacing w:after="160"/>
        <w:jc w:val="left"/>
      </w:pPr>
      <w:r>
        <w:rPr>
          <w:b w:val="on"/>
          <w:sz w:val="22"/>
        </w:rPr>
        <w:t>Article 8 - Assurances (CCAG Article 4.4)</w:t>
      </w:r>
    </w:p>
    <w:p>
      <w:pPr>
        <w:spacing w:after="120"/>
        <w:jc w:val="both"/>
      </w:pPr>
      <w:r>
        <w:rPr>
          <w:b w:val="off"/>
          <w:sz w:val="22"/>
        </w:rPr>
        <w:t>Les polices d’assurances suivantes sont requises au titre du présent Marché.</w:t>
      </w:r>
    </w:p>
    <w:p>
      <w:pPr>
        <w:spacing w:after="120"/>
        <w:jc w:val="both"/>
      </w:pPr>
      <w:r>
        <w:rPr>
          <w:b w:val="off"/>
          <w:sz w:val="22"/>
        </w:rPr>
        <w:t>{{B09-AC-01}}</w:t>
      </w:r>
    </w:p>
    <w:p>
      <w:pPr>
        <w:spacing w:after="120"/>
        <w:jc w:val="both"/>
      </w:pPr>
      <w:r>
        <w:rPr>
          <w:b w:val="off"/>
          <w:sz w:val="22"/>
        </w:rPr>
        <w:t>{{B09-AC-02}}</w:t>
      </w:r>
    </w:p>
    <w:p>
      <w:pPr>
        <w:spacing w:after="120"/>
        <w:jc w:val="both"/>
      </w:pPr>
      <w:r>
        <w:rPr>
          <w:b w:val="off"/>
          <w:sz w:val="22"/>
        </w:rPr>
        <w:t>{{SI:BATIMENT}}</w:t>
      </w:r>
    </w:p>
    <w:p>
      <w:pPr>
        <w:spacing w:after="120"/>
        <w:jc w:val="both"/>
      </w:pPr>
      <w:r>
        <w:rPr>
          <w:b w:val="off"/>
          <w:sz w:val="22"/>
        </w:rPr>
        <w:t>{{B09-AC-03}}</w:t>
      </w:r>
    </w:p>
    <w:p>
      <w:pPr>
        <w:spacing w:after="120"/>
        <w:jc w:val="both"/>
      </w:pPr>
      <w:r>
        <w:rPr>
          <w:b w:val="off"/>
          <w:sz w:val="22"/>
        </w:rPr>
        <w:t>{{FINSI:BATIMENT}}</w:t>
      </w:r>
    </w:p>
    <w:p>
      <w:pPr>
        <w:spacing w:after="160"/>
        <w:jc w:val="left"/>
      </w:pPr>
      <w:r>
        <w:rPr>
          <w:b w:val="on"/>
          <w:sz w:val="22"/>
        </w:rPr>
        <w:t>Article 9. - Obligation de discrétion – Mesure de sécurité (CCAG Article 7)</w:t>
      </w:r>
    </w:p>
    <w:p>
      <w:pPr>
        <w:spacing w:after="120"/>
        <w:jc w:val="both"/>
      </w:pPr>
      <w:r>
        <w:rPr>
          <w:b w:val="off"/>
          <w:sz w:val="22"/>
        </w:rPr>
        <w:t>{{SI:DISCRETION-NON}}</w:t>
      </w:r>
    </w:p>
    <w:p>
      <w:pPr>
        <w:spacing w:after="120"/>
        <w:jc w:val="both"/>
      </w:pPr>
      <w:r>
        <w:rPr>
          <w:b w:val="off"/>
          <w:sz w:val="22"/>
        </w:rPr>
        <w:t>Non applicable</w:t>
      </w:r>
    </w:p>
    <w:p>
      <w:pPr>
        <w:spacing w:after="120"/>
        <w:jc w:val="both"/>
      </w:pPr>
      <w:r>
        <w:rPr>
          <w:b w:val="off"/>
          <w:sz w:val="22"/>
        </w:rPr>
        <w:t>{{FINSI:DISCRETION-NON}}</w:t>
      </w:r>
    </w:p>
    <w:p>
      <w:pPr>
        <w:spacing w:after="120"/>
        <w:jc w:val="both"/>
      </w:pPr>
      <w:r>
        <w:rPr>
          <w:b w:val="off"/>
          <w:sz w:val="22"/>
        </w:rPr>
        <w:t>{{SI:DISCRETION-OUI}}</w:t>
      </w:r>
    </w:p>
    <w:p>
      <w:pPr>
        <w:spacing w:after="120"/>
        <w:jc w:val="both"/>
      </w:pPr>
      <w:r>
        <w:rPr>
          <w:b w:val="off"/>
          <w:sz w:val="22"/>
        </w:rPr>
        <w:t>Les travaux, objet du présent Marché, sont à exécuter dans un lieu où des mesures de sécurité ou de protection du secret s'appliquent. L'Entrepreneur doit en conséquence observer les dispositions :</w:t>
      </w:r>
    </w:p>
    <w:p>
      <w:pPr>
        <w:spacing w:after="120"/>
        <w:jc w:val="both"/>
      </w:pPr>
      <w:r>
        <w:rPr>
          <w:b w:val="off"/>
          <w:sz w:val="22"/>
        </w:rPr>
        <w:t>{{FINSI:DISCRETION-OUI}}</w:t>
      </w:r>
    </w:p>
    <w:p>
      <w:pPr>
        <w:spacing w:after="120"/>
        <w:jc w:val="both"/>
      </w:pPr>
      <w:r>
        <w:rPr>
          <w:b w:val="off"/>
          <w:sz w:val="22"/>
        </w:rPr>
        <w:t>{{SI:DISCRETION-NOTIFICATION}}</w:t>
      </w:r>
    </w:p>
    <w:p>
      <w:pPr>
        <w:spacing w:after="120"/>
        <w:jc w:val="both"/>
      </w:pPr>
      <w:r>
        <w:rPr>
          <w:b w:val="off"/>
          <w:sz w:val="22"/>
        </w:rPr>
        <w:t>que le Maître d'œuvre communiquera lors de la notification de l'attribution du Marché,</w:t>
      </w:r>
    </w:p>
    <w:p>
      <w:pPr>
        <w:spacing w:after="120"/>
        <w:jc w:val="both"/>
      </w:pPr>
      <w:r>
        <w:rPr>
          <w:b w:val="off"/>
          <w:sz w:val="22"/>
        </w:rPr>
        <w:t>{{FINSI:DISCRETION-NOTIFICATION}}</w:t>
      </w:r>
    </w:p>
    <w:p>
      <w:pPr>
        <w:spacing w:after="120"/>
        <w:jc w:val="both"/>
      </w:pPr>
      <w:r>
        <w:rPr>
          <w:b w:val="off"/>
          <w:sz w:val="22"/>
        </w:rPr>
        <w:t>{{SI:DISCRETION-ANNEXE}}</w:t>
      </w:r>
    </w:p>
    <w:p>
      <w:pPr>
        <w:spacing w:after="120"/>
        <w:jc w:val="both"/>
      </w:pPr>
      <w:r>
        <w:rPr>
          <w:b w:val="off"/>
          <w:sz w:val="22"/>
        </w:rPr>
        <w:t>mentionnées en Annexe &lt;n°&gt; au présent CCAP.</w:t>
      </w:r>
    </w:p>
    <w:p>
      <w:pPr>
        <w:spacing w:after="120"/>
        <w:jc w:val="both"/>
      </w:pPr>
      <w:r>
        <w:rPr>
          <w:b w:val="off"/>
          <w:sz w:val="22"/>
        </w:rPr>
        <w:t>{{FINSI:DISCRETION-ANNEXE}}</w:t>
      </w:r>
    </w:p>
    <w:p>
      <w:pPr>
        <w:spacing w:after="160"/>
        <w:jc w:val="left"/>
      </w:pPr>
      <w:r>
        <w:rPr>
          <w:b w:val="on"/>
          <w:sz w:val="22"/>
        </w:rPr>
        <w:t>Article 10 - Contrôle des prix de revient (CCAG Article 8)</w:t>
      </w:r>
    </w:p>
    <w:p>
      <w:pPr>
        <w:spacing w:after="120"/>
        <w:jc w:val="both"/>
      </w:pPr>
      <w:r>
        <w:rPr>
          <w:b w:val="off"/>
          <w:sz w:val="22"/>
        </w:rPr>
        <w:t>{{SI:PRIX-REVIENT-NON}}</w:t>
      </w:r>
    </w:p>
    <w:p>
      <w:pPr>
        <w:spacing w:after="120"/>
        <w:jc w:val="both"/>
      </w:pPr>
      <w:r>
        <w:rPr>
          <w:b w:val="off"/>
          <w:sz w:val="22"/>
        </w:rPr>
        <w:t>Non applicable.</w:t>
      </w:r>
    </w:p>
    <w:p>
      <w:pPr>
        <w:spacing w:after="120"/>
        <w:jc w:val="both"/>
      </w:pPr>
      <w:r>
        <w:rPr>
          <w:b w:val="off"/>
          <w:sz w:val="22"/>
        </w:rPr>
        <w:t>{{FINSI:PRIX-REVIENT-NON}}</w:t>
      </w:r>
    </w:p>
    <w:p>
      <w:pPr>
        <w:spacing w:after="120"/>
        <w:jc w:val="both"/>
      </w:pPr>
      <w:r>
        <w:rPr>
          <w:b w:val="off"/>
          <w:sz w:val="22"/>
        </w:rPr>
        <w:t>{{SI:PRIX-REVIENT-OUI}}</w:t>
      </w:r>
    </w:p>
    <w:p>
      <w:pPr>
        <w:spacing w:after="120"/>
        <w:jc w:val="both"/>
      </w:pPr>
      <w:r>
        <w:rPr>
          <w:b w:val="off"/>
          <w:sz w:val="22"/>
        </w:rPr>
        <w:t>Les dispositions de l'Article 8 du CCAG relatives au contrôle des prix de revient s'appliquent.</w:t>
      </w:r>
    </w:p>
    <w:p>
      <w:pPr>
        <w:spacing w:after="120"/>
        <w:jc w:val="both"/>
      </w:pPr>
      <w:r>
        <w:rPr>
          <w:b w:val="off"/>
          <w:sz w:val="22"/>
        </w:rPr>
        <w:t>{{FINSI:PRIX-REVIENT-OUI}}</w:t>
      </w:r>
    </w:p>
    <w:p>
      <w:pPr>
        <w:spacing w:after="120"/>
        <w:jc w:val="both"/>
      </w:pPr>
      <w:r>
        <w:rPr>
          <w:b w:val="off"/>
          <w:sz w:val="22"/>
        </w:rPr>
        <w:t>{{SI:PRIX-REVIENT-ELEMENTS}}</w:t>
      </w:r>
    </w:p>
    <w:p>
      <w:pPr>
        <w:spacing w:after="120"/>
        <w:jc w:val="both"/>
      </w:pPr>
      <w:r>
        <w:rPr>
          <w:b w:val="off"/>
          <w:sz w:val="22"/>
        </w:rPr>
        <w:t>{{B09-PV-02}}</w:t>
      </w:r>
    </w:p>
    <w:p>
      <w:pPr>
        <w:spacing w:after="120"/>
        <w:jc w:val="both"/>
      </w:pPr>
      <w:r>
        <w:rPr>
          <w:b w:val="off"/>
          <w:sz w:val="22"/>
        </w:rPr>
        <w:t>{{FINSI:PRIX-REVIENT-ELEMENTS}}</w:t>
      </w:r>
    </w:p>
    <w:p>
      <w:pPr>
        <w:spacing w:after="160"/>
        <w:jc w:val="left"/>
      </w:pPr>
      <w:r>
        <w:rPr>
          <w:b w:val="on"/>
          <w:sz w:val="22"/>
        </w:rPr>
        <w:t>Article 11 - Prix du Marché (CCAG article 10)</w:t>
      </w:r>
    </w:p>
    <w:p>
      <w:pPr>
        <w:spacing w:after="160"/>
        <w:jc w:val="left"/>
      </w:pPr>
      <w:r>
        <w:rPr>
          <w:b w:val="on"/>
          <w:sz w:val="22"/>
        </w:rPr>
        <w:t>11.1 Contenu des prix du Marché (CCAG article 10.1)</w:t>
      </w:r>
    </w:p>
    <w:p>
      <w:pPr>
        <w:spacing w:after="120"/>
        <w:jc w:val="both"/>
      </w:pPr>
      <w:r>
        <w:rPr>
          <w:b w:val="off"/>
          <w:sz w:val="22"/>
        </w:rPr>
        <w:t>Les prix indiqués dans le marché incluent toutes les sujétions indiquées à l’article 10.1 du CCAG, y compris les sujétions particulières ci-après :</w:t>
      </w:r>
    </w:p>
    <w:p>
      <w:pPr>
        <w:spacing w:after="120"/>
        <w:jc w:val="both"/>
      </w:pPr>
      <w:r>
        <w:rPr>
          <w:b w:val="off"/>
          <w:sz w:val="22"/>
        </w:rPr>
        <w:t>{{SI:SUJETION-OCCUPE}}</w:t>
      </w:r>
    </w:p>
    <w:p>
      <w:pPr>
        <w:spacing w:after="120"/>
        <w:jc w:val="both"/>
      </w:pPr>
      <w:r>
        <w:rPr>
          <w:b w:val="off"/>
          <w:sz w:val="22"/>
        </w:rPr>
        <w:t>{{B09-CH-01}}</w:t>
      </w:r>
    </w:p>
    <w:p>
      <w:pPr>
        <w:spacing w:after="120"/>
        <w:jc w:val="both"/>
      </w:pPr>
      <w:r>
        <w:rPr>
          <w:b w:val="off"/>
          <w:sz w:val="22"/>
        </w:rPr>
        <w:t>{{FINSI:SUJETION-OCCUPE}}</w:t>
      </w:r>
    </w:p>
    <w:p>
      <w:pPr>
        <w:spacing w:after="120"/>
        <w:jc w:val="both"/>
      </w:pPr>
      <w:r>
        <w:rPr>
          <w:b w:val="off"/>
          <w:sz w:val="22"/>
        </w:rPr>
        <w:t>{{SI:SUJETION-DELAI}}</w:t>
      </w:r>
    </w:p>
    <w:p>
      <w:pPr>
        <w:spacing w:after="120"/>
        <w:jc w:val="both"/>
      </w:pPr>
      <w:r>
        <w:rPr>
          <w:b w:val="off"/>
          <w:sz w:val="22"/>
        </w:rPr>
        <w:t>{{B09-CH-02}}</w:t>
      </w:r>
    </w:p>
    <w:p>
      <w:pPr>
        <w:spacing w:after="120"/>
        <w:jc w:val="both"/>
      </w:pPr>
      <w:r>
        <w:rPr>
          <w:b w:val="off"/>
          <w:sz w:val="22"/>
        </w:rPr>
        <w:t>{{FINSI:SUJETION-DELAI}}</w:t>
      </w:r>
    </w:p>
    <w:p>
      <w:pPr>
        <w:spacing w:after="120"/>
        <w:jc w:val="both"/>
      </w:pPr>
      <w:r>
        <w:rPr>
          <w:b w:val="off"/>
          <w:sz w:val="22"/>
        </w:rPr>
        <w:t>{{SI:SUJETION-HORAIRE}}</w:t>
      </w:r>
    </w:p>
    <w:p>
      <w:pPr>
        <w:spacing w:after="120"/>
        <w:jc w:val="both"/>
      </w:pPr>
      <w:r>
        <w:rPr>
          <w:b w:val="off"/>
          <w:sz w:val="22"/>
        </w:rPr>
        <w:t>{{B09-CH-03}}</w:t>
      </w:r>
    </w:p>
    <w:p>
      <w:pPr>
        <w:spacing w:after="120"/>
        <w:jc w:val="both"/>
      </w:pPr>
      <w:r>
        <w:rPr>
          <w:b w:val="off"/>
          <w:sz w:val="22"/>
        </w:rPr>
        <w:t>{{FINSI:SUJETION-HORAIRE}}</w:t>
      </w:r>
    </w:p>
    <w:p>
      <w:pPr>
        <w:spacing w:after="120"/>
        <w:jc w:val="both"/>
      </w:pPr>
      <w:r>
        <w:rPr>
          <w:b w:val="off"/>
          <w:sz w:val="22"/>
        </w:rPr>
        <w:t>{{SI:SUJETION-CLES}}</w:t>
      </w:r>
    </w:p>
    <w:p>
      <w:pPr>
        <w:spacing w:after="120"/>
        <w:jc w:val="both"/>
      </w:pPr>
      <w:r>
        <w:rPr>
          <w:b w:val="off"/>
          <w:sz w:val="22"/>
        </w:rPr>
        <w:t>{{B09-CH-04}}</w:t>
      </w:r>
    </w:p>
    <w:p>
      <w:pPr>
        <w:spacing w:after="120"/>
        <w:jc w:val="both"/>
      </w:pPr>
      <w:r>
        <w:rPr>
          <w:b w:val="off"/>
          <w:sz w:val="22"/>
        </w:rPr>
        <w:t>{{FINSI:SUJETION-CLES}}</w:t>
      </w:r>
    </w:p>
    <w:p>
      <w:pPr>
        <w:spacing w:after="120"/>
        <w:jc w:val="both"/>
      </w:pPr>
      <w:r>
        <w:rPr>
          <w:b w:val="off"/>
          <w:sz w:val="22"/>
        </w:rPr>
        <w:t>{{SI:SUJETION-PRESTATIONS}}</w:t>
      </w:r>
    </w:p>
    <w:p>
      <w:pPr>
        <w:spacing w:after="120"/>
        <w:jc w:val="both"/>
      </w:pPr>
      <w:r>
        <w:rPr>
          <w:b w:val="off"/>
          <w:sz w:val="22"/>
        </w:rPr>
        <w:t>{{B09-CH-05}}</w:t>
      </w:r>
    </w:p>
    <w:p>
      <w:pPr>
        <w:spacing w:after="120"/>
        <w:jc w:val="both"/>
      </w:pPr>
      <w:r>
        <w:rPr>
          <w:b w:val="off"/>
          <w:sz w:val="22"/>
        </w:rPr>
        <w:t>{{FINSI:SUJETION-PRESTATIONS}}</w:t>
      </w:r>
    </w:p>
    <w:p>
      <w:pPr>
        <w:spacing w:after="160"/>
        <w:jc w:val="left"/>
      </w:pPr>
      <w:r>
        <w:rPr>
          <w:b w:val="on"/>
          <w:sz w:val="22"/>
        </w:rPr>
        <w:t>11.2. Monnaie (CCAG article 10.1)</w:t>
      </w:r>
    </w:p>
    <w:p>
      <w:pPr>
        <w:spacing w:after="120"/>
        <w:jc w:val="both"/>
      </w:pPr>
      <w:r>
        <w:rPr>
          <w:b w:val="off"/>
          <w:sz w:val="22"/>
        </w:rPr>
        <w:t>{{SI:DEVISES}}</w:t>
      </w:r>
    </w:p>
    <w:p>
      <w:pPr>
        <w:spacing w:after="120"/>
        <w:jc w:val="both"/>
      </w:pPr>
      <w:r>
        <w:rPr>
          <w:b w:val="off"/>
          <w:sz w:val="22"/>
        </w:rPr>
        <w:t>Les prix du Marché peuvent comporter un part exprimé et payable en devises convertibles, correspondant à des dépenses que l'Entrepreneur justifie engager hors de la République de Madagascar. Les prix en devises seront exprimés et payés en &lt;nom de la devise&gt;.</w:t>
      </w:r>
    </w:p>
    <w:p>
      <w:pPr>
        <w:spacing w:after="120"/>
        <w:jc w:val="both"/>
      </w:pPr>
      <w:r>
        <w:rPr>
          <w:b w:val="off"/>
          <w:sz w:val="22"/>
        </w:rPr>
        <w:t>Pour l'évaluation du montant du marché et la réalisation des règlements le taux de change utilisé sera le taux publié par la Banque Centrale de Madagascar le quinzième jour précédant la date limite de remise des offres.</w:t>
      </w:r>
    </w:p>
    <w:p>
      <w:pPr>
        <w:spacing w:after="120"/>
        <w:jc w:val="both"/>
      </w:pPr>
      <w:r>
        <w:rPr>
          <w:b w:val="off"/>
          <w:sz w:val="22"/>
        </w:rPr>
        <w:t>Le règlement en devises est subordonné à la signature d'une convention entre Monsieur le Ministre chargé des finances et l'Entrepreneur, accompagné d'un tableau détaillé justifiant les dépenses en devises, qui doit être annexé au Marché approuvé</w:t>
      </w:r>
    </w:p>
    <w:p>
      <w:pPr>
        <w:spacing w:after="120"/>
        <w:jc w:val="both"/>
      </w:pPr>
      <w:r>
        <w:rPr>
          <w:b w:val="off"/>
          <w:sz w:val="22"/>
        </w:rPr>
        <w:t>{{FINSI:DEVISES}}</w:t>
      </w:r>
    </w:p>
    <w:p>
      <w:pPr>
        <w:spacing w:after="160"/>
        <w:jc w:val="left"/>
      </w:pPr>
      <w:r>
        <w:rPr>
          <w:b w:val="on"/>
          <w:sz w:val="22"/>
        </w:rPr>
        <w:t>11.3. Type de prix (CCAG article 10.2 et 10.3)</w:t>
      </w:r>
    </w:p>
    <w:p>
      <w:pPr>
        <w:spacing w:after="120"/>
        <w:jc w:val="both"/>
      </w:pPr>
      <w:r>
        <w:rPr>
          <w:b w:val="off"/>
          <w:sz w:val="22"/>
        </w:rPr>
        <w:t>{{SI:FORFAIT}}</w:t>
      </w:r>
    </w:p>
    <w:p>
      <w:pPr>
        <w:spacing w:after="120"/>
        <w:jc w:val="both"/>
      </w:pPr>
      <w:r>
        <w:rPr>
          <w:b w:val="off"/>
          <w:sz w:val="22"/>
        </w:rPr>
        <w:t>Le Marché est traité sur la base d’un prix forfaitaire résultant du Détail Quantitatif et Estimatif qui est joint à l'Acte d'Engagement</w:t>
      </w:r>
    </w:p>
    <w:p>
      <w:pPr>
        <w:spacing w:after="120"/>
        <w:jc w:val="both"/>
      </w:pPr>
      <w:r>
        <w:rPr>
          <w:b w:val="off"/>
          <w:sz w:val="22"/>
        </w:rPr>
        <w:t>{{FINSI:FORFAIT}}</w:t>
      </w:r>
    </w:p>
    <w:p>
      <w:pPr>
        <w:spacing w:after="120"/>
        <w:jc w:val="both"/>
      </w:pPr>
      <w:r>
        <w:rPr>
          <w:b w:val="off"/>
          <w:sz w:val="22"/>
        </w:rPr>
        <w:t>{{SI:UNITAIRES}}</w:t>
      </w:r>
    </w:p>
    <w:p>
      <w:pPr>
        <w:spacing w:after="120"/>
        <w:jc w:val="both"/>
      </w:pPr>
      <w:r>
        <w:rPr>
          <w:b w:val="off"/>
          <w:sz w:val="22"/>
        </w:rPr>
        <w:t>Le Marché est traité sur la base de prix unitaires figurant au Bordereau des Prix et du Détail Quantitatif et Estimatif annexé à L'Acte d'Engagement décomposé dans le Sous Détail des Prix Unitaires</w:t>
      </w:r>
    </w:p>
    <w:p>
      <w:pPr>
        <w:spacing w:after="120"/>
        <w:jc w:val="both"/>
      </w:pPr>
      <w:r>
        <w:rPr>
          <w:b w:val="off"/>
          <w:sz w:val="22"/>
        </w:rPr>
        <w:t>{{FINSI:UNITAIRES}}</w:t>
      </w:r>
    </w:p>
    <w:p>
      <w:pPr>
        <w:spacing w:after="160"/>
        <w:jc w:val="left"/>
      </w:pPr>
      <w:r>
        <w:rPr>
          <w:b w:val="on"/>
          <w:sz w:val="22"/>
        </w:rPr>
        <w:t>11.4. Variations dans les prix (CCAG article 10.4)</w:t>
      </w:r>
    </w:p>
    <w:p>
      <w:pPr>
        <w:spacing w:after="120"/>
        <w:jc w:val="both"/>
      </w:pPr>
      <w:r>
        <w:rPr>
          <w:b w:val="off"/>
          <w:sz w:val="22"/>
        </w:rPr>
        <w:t>{{SI:FERME}}</w:t>
      </w:r>
    </w:p>
    <w:p>
      <w:pPr>
        <w:spacing w:after="120"/>
        <w:jc w:val="both"/>
      </w:pPr>
      <w:r>
        <w:rPr>
          <w:b w:val="off"/>
          <w:sz w:val="22"/>
        </w:rPr>
        <w:t>Les prix sont fermes et non révisables.</w:t>
      </w:r>
    </w:p>
    <w:p>
      <w:pPr>
        <w:spacing w:after="120"/>
        <w:jc w:val="both"/>
      </w:pPr>
      <w:r>
        <w:rPr>
          <w:b w:val="off"/>
          <w:sz w:val="22"/>
        </w:rPr>
        <w:t>{{FINSI:FERME}}</w:t>
      </w:r>
    </w:p>
    <w:p>
      <w:pPr>
        <w:spacing w:after="120"/>
        <w:jc w:val="both"/>
      </w:pPr>
      <w:r>
        <w:rPr>
          <w:b w:val="off"/>
          <w:sz w:val="22"/>
        </w:rPr>
        <w:t>{{SI:ACTUALISATION}}</w:t>
      </w:r>
    </w:p>
    <w:p>
      <w:pPr>
        <w:spacing w:after="120"/>
        <w:jc w:val="both"/>
      </w:pPr>
      <w:r>
        <w:rPr>
          <w:b w:val="off"/>
          <w:sz w:val="22"/>
        </w:rPr>
        <w:t>Ils sont actualisés pour tenir compte du délai entre la date limite de remise des offres et la date de notification du marché, selon la formule suivante :</w:t>
      </w:r>
    </w:p>
    <w:p>
      <w:pPr>
        <w:spacing w:after="120"/>
        <w:jc w:val="both"/>
      </w:pPr>
      <w:r>
        <w:rPr>
          <w:b w:val="off"/>
          <w:sz w:val="22"/>
        </w:rPr>
        <w:t>PI = Po (In / Io)</w:t>
      </w:r>
    </w:p>
    <w:p>
      <w:pPr>
        <w:spacing w:after="120"/>
        <w:jc w:val="both"/>
      </w:pPr>
      <w:r>
        <w:rPr>
          <w:b w:val="off"/>
          <w:sz w:val="22"/>
        </w:rPr>
        <w:t>Formule selon laquelle :</w:t>
      </w:r>
    </w:p>
    <w:p>
      <w:pPr>
        <w:spacing w:after="120"/>
        <w:jc w:val="both"/>
      </w:pPr>
      <w:r>
        <w:rPr>
          <w:b w:val="off"/>
          <w:sz w:val="22"/>
        </w:rPr>
        <w:t>PI est le nouveau prix actualisé ;</w:t>
      </w:r>
    </w:p>
    <w:p>
      <w:pPr>
        <w:spacing w:after="120"/>
        <w:jc w:val="both"/>
      </w:pPr>
      <w:r>
        <w:rPr>
          <w:b w:val="off"/>
          <w:sz w:val="22"/>
        </w:rPr>
        <w:t>Po est le prix de base du règlement des prestations figurant à l'acte d'engagement.</w:t>
      </w:r>
    </w:p>
    <w:p>
      <w:pPr>
        <w:spacing w:after="120"/>
        <w:jc w:val="both"/>
      </w:pPr>
      <w:r>
        <w:rPr>
          <w:b w:val="off"/>
          <w:sz w:val="22"/>
        </w:rPr>
        <w:t>In est la valeur de l'indice, défini pour chaque lot, du mois de la date de la notification du marché l'acte portant début d'exécution des prestations.</w:t>
      </w:r>
    </w:p>
    <w:p>
      <w:pPr>
        <w:spacing w:after="120"/>
        <w:jc w:val="both"/>
      </w:pPr>
      <w:r>
        <w:rPr>
          <w:b w:val="off"/>
          <w:sz w:val="22"/>
        </w:rPr>
        <w:t>Io est la valeur de ce même indice correspondant au mois d'établissement des prix fixés dans l'acte d'engagement.</w:t>
      </w:r>
    </w:p>
    <w:p>
      <w:pPr>
        <w:spacing w:after="120"/>
        <w:jc w:val="both"/>
      </w:pPr>
      <w:r>
        <w:rPr>
          <w:b w:val="off"/>
          <w:sz w:val="22"/>
        </w:rPr>
        <w:t>Le (les) indice(s) applicables sont:</w:t>
      </w:r>
    </w:p>
    <w:p>
      <w:pPr>
        <w:spacing w:after="120"/>
        <w:jc w:val="both"/>
      </w:pPr>
      <w:r>
        <w:rPr>
          <w:b w:val="off"/>
          <w:sz w:val="22"/>
        </w:rPr>
        <w:t>{{B05-VR-02}}</w:t>
      </w:r>
    </w:p>
    <w:p>
      <w:pPr>
        <w:spacing w:after="120"/>
        <w:jc w:val="both"/>
      </w:pPr>
      <w:r>
        <w:rPr>
          <w:b w:val="off"/>
          <w:sz w:val="22"/>
        </w:rPr>
        <w:t>Les coefficients d’actualisation seront arrondis au millième supérieur.</w:t>
      </w:r>
    </w:p>
    <w:p>
      <w:pPr>
        <w:spacing w:after="120"/>
        <w:jc w:val="both"/>
      </w:pPr>
      <w:r>
        <w:rPr>
          <w:b w:val="off"/>
          <w:sz w:val="22"/>
        </w:rPr>
        <w:t>{{FINSI:ACTUALISATION}}</w:t>
      </w:r>
    </w:p>
    <w:p>
      <w:pPr>
        <w:spacing w:after="120"/>
        <w:jc w:val="both"/>
      </w:pPr>
      <w:r>
        <w:rPr>
          <w:b w:val="off"/>
          <w:sz w:val="22"/>
        </w:rPr>
        <w:t>{{SI:REVISABLE}}</w:t>
      </w:r>
    </w:p>
    <w:p>
      <w:pPr>
        <w:spacing w:after="120"/>
        <w:jc w:val="both"/>
      </w:pPr>
      <w:r>
        <w:rPr>
          <w:b w:val="off"/>
          <w:sz w:val="22"/>
        </w:rPr>
        <w:t>Les prix seront révisés conformément aux dispositions de l’Annexe du présent CCAP "Formule de révision de prix".</w:t>
      </w:r>
    </w:p>
    <w:p>
      <w:pPr>
        <w:spacing w:after="120"/>
        <w:jc w:val="both"/>
      </w:pPr>
      <w:r>
        <w:rPr>
          <w:b w:val="off"/>
          <w:sz w:val="22"/>
        </w:rPr>
        <w:t>{{FINSI:REVISABLE}}</w:t>
      </w:r>
    </w:p>
    <w:p>
      <w:pPr>
        <w:spacing w:after="160"/>
        <w:jc w:val="left"/>
      </w:pPr>
      <w:r>
        <w:rPr>
          <w:b w:val="on"/>
          <w:sz w:val="22"/>
        </w:rPr>
        <w:t>Article 12 - Règlement des comptes (CCAG Article 11)</w:t>
      </w:r>
    </w:p>
    <w:p>
      <w:pPr>
        <w:spacing w:after="160"/>
        <w:jc w:val="left"/>
      </w:pPr>
      <w:r>
        <w:rPr>
          <w:b w:val="on"/>
          <w:sz w:val="22"/>
        </w:rPr>
        <w:t>12.1. Modalités de règlement des comptes (CCAG Article 11.1)</w:t>
      </w:r>
    </w:p>
    <w:p>
      <w:pPr>
        <w:spacing w:after="120"/>
        <w:jc w:val="both"/>
      </w:pPr>
      <w:r>
        <w:rPr>
          <w:b w:val="off"/>
          <w:sz w:val="22"/>
        </w:rPr>
        <w:t>{{B08-RE-01}}</w:t>
      </w:r>
    </w:p>
    <w:p>
      <w:pPr>
        <w:spacing w:after="160"/>
        <w:jc w:val="left"/>
      </w:pPr>
      <w:r>
        <w:rPr>
          <w:b w:val="on"/>
          <w:sz w:val="22"/>
        </w:rPr>
        <w:t>12.2. Travaux en régie</w:t>
      </w:r>
    </w:p>
    <w:p>
      <w:pPr>
        <w:spacing w:after="120"/>
        <w:jc w:val="both"/>
      </w:pPr>
      <w:r>
        <w:rPr>
          <w:b w:val="off"/>
          <w:sz w:val="22"/>
        </w:rPr>
        <w:t>{{SI:REGIE-NON}}</w:t>
      </w:r>
    </w:p>
    <w:p>
      <w:pPr>
        <w:spacing w:after="120"/>
        <w:jc w:val="both"/>
      </w:pPr>
      <w:r>
        <w:rPr>
          <w:b w:val="off"/>
          <w:sz w:val="22"/>
        </w:rPr>
        <w:t>Non applicable</w:t>
      </w:r>
    </w:p>
    <w:p>
      <w:pPr>
        <w:spacing w:after="120"/>
        <w:jc w:val="both"/>
      </w:pPr>
      <w:r>
        <w:rPr>
          <w:b w:val="off"/>
          <w:sz w:val="22"/>
        </w:rPr>
        <w:t>{{FINSI:REGIE-NON}}</w:t>
      </w:r>
    </w:p>
    <w:p>
      <w:pPr>
        <w:spacing w:after="120"/>
        <w:jc w:val="both"/>
      </w:pPr>
      <w:r>
        <w:rPr>
          <w:b w:val="off"/>
          <w:sz w:val="22"/>
        </w:rPr>
        <w:t>{{SI:REGIE-OUI}}</w:t>
      </w:r>
    </w:p>
    <w:p>
      <w:pPr>
        <w:spacing w:after="120"/>
        <w:jc w:val="both"/>
      </w:pPr>
      <w:r>
        <w:rPr>
          <w:b w:val="off"/>
          <w:sz w:val="22"/>
        </w:rPr>
        <w:t>Coefficient de majoration des salaires et des indemnités passibles des charges salariales:</w:t>
      </w:r>
    </w:p>
    <w:p>
      <w:pPr>
        <w:spacing w:after="120"/>
        <w:jc w:val="both"/>
      </w:pPr>
      <w:r>
        <w:rPr>
          <w:b w:val="off"/>
          <w:sz w:val="22"/>
        </w:rPr>
        <w:t>{{B08-RE-03}}</w:t>
      </w:r>
    </w:p>
    <w:p>
      <w:pPr>
        <w:spacing w:after="120"/>
        <w:jc w:val="both"/>
      </w:pPr>
      <w:r>
        <w:rPr>
          <w:b w:val="off"/>
          <w:sz w:val="22"/>
        </w:rPr>
        <w:t>Coefficient de majoration des autres frais:</w:t>
      </w:r>
    </w:p>
    <w:p>
      <w:pPr>
        <w:spacing w:after="120"/>
        <w:jc w:val="both"/>
      </w:pPr>
      <w:r>
        <w:rPr>
          <w:b w:val="off"/>
          <w:sz w:val="22"/>
        </w:rPr>
        <w:t>&lt;Indiquer le taux de frais généraux admis et le taux de marge admis&gt;</w:t>
      </w:r>
    </w:p>
    <w:p>
      <w:pPr>
        <w:spacing w:after="120"/>
        <w:jc w:val="both"/>
      </w:pPr>
      <w:r>
        <w:rPr>
          <w:b w:val="off"/>
          <w:sz w:val="22"/>
        </w:rPr>
        <w:t>L'obligation pour l'Entrepreneur d'exécuter des travaux en régie cesse lorsque le montant total des droits à remboursement atteint {{B08-RE-04.chiffres}} % du montant du Marché.</w:t>
      </w:r>
    </w:p>
    <w:p>
      <w:pPr>
        <w:spacing w:after="120"/>
        <w:jc w:val="both"/>
      </w:pPr>
      <w:r>
        <w:rPr>
          <w:b w:val="off"/>
          <w:sz w:val="22"/>
        </w:rPr>
        <w:t>{{FINSI:REGIE-OUI}}</w:t>
      </w:r>
    </w:p>
    <w:p>
      <w:pPr>
        <w:spacing w:after="160"/>
        <w:jc w:val="left"/>
      </w:pPr>
      <w:r>
        <w:rPr>
          <w:b w:val="on"/>
          <w:sz w:val="22"/>
        </w:rPr>
        <w:t>Article 13 - Acomptes sur approvisionnements (CCAG Article 11.4)</w:t>
      </w:r>
    </w:p>
    <w:p>
      <w:pPr>
        <w:spacing w:after="120"/>
        <w:jc w:val="both"/>
      </w:pPr>
      <w:r>
        <w:rPr>
          <w:b w:val="off"/>
          <w:sz w:val="22"/>
        </w:rPr>
        <w:t>{{SI:APPROVISIONNEMENTS-NON}}</w:t>
      </w:r>
    </w:p>
    <w:p>
      <w:pPr>
        <w:spacing w:after="120"/>
        <w:jc w:val="both"/>
      </w:pPr>
      <w:r>
        <w:rPr>
          <w:b w:val="off"/>
          <w:sz w:val="22"/>
        </w:rPr>
        <w:t>Non applicable</w:t>
      </w:r>
    </w:p>
    <w:p>
      <w:pPr>
        <w:spacing w:after="120"/>
        <w:jc w:val="both"/>
      </w:pPr>
      <w:r>
        <w:rPr>
          <w:b w:val="off"/>
          <w:sz w:val="22"/>
        </w:rPr>
        <w:t>{{FINSI:APPROVISIONNEMENTS-NON}}</w:t>
      </w:r>
    </w:p>
    <w:p>
      <w:pPr>
        <w:spacing w:after="120"/>
        <w:jc w:val="both"/>
      </w:pPr>
      <w:r>
        <w:rPr>
          <w:b w:val="off"/>
          <w:sz w:val="22"/>
        </w:rPr>
        <w:t>{{SI:APPROVISIONNEMENTS-OUI}}</w:t>
      </w:r>
    </w:p>
    <w:p>
      <w:pPr>
        <w:spacing w:after="120"/>
        <w:jc w:val="both"/>
      </w:pPr>
      <w:r>
        <w:rPr>
          <w:b w:val="off"/>
          <w:sz w:val="22"/>
        </w:rPr>
        <w:t>{{B08-AP-02}}</w:t>
      </w:r>
    </w:p>
    <w:p>
      <w:pPr>
        <w:spacing w:after="120"/>
        <w:jc w:val="both"/>
      </w:pPr>
      <w:r>
        <w:rPr>
          <w:b w:val="off"/>
          <w:sz w:val="22"/>
        </w:rPr>
        <w:t>{{FINSI:APPROVISIONNEMENTS-OUI}}</w:t>
      </w:r>
    </w:p>
    <w:p>
      <w:pPr>
        <w:spacing w:after="160"/>
        <w:jc w:val="left"/>
      </w:pPr>
      <w:r>
        <w:rPr>
          <w:b w:val="on"/>
          <w:sz w:val="22"/>
        </w:rPr>
        <w:t>Article 14. - Avances (CCAG Article 11.5)</w:t>
      </w:r>
    </w:p>
    <w:p>
      <w:pPr>
        <w:spacing w:after="160"/>
        <w:jc w:val="left"/>
      </w:pPr>
      <w:r>
        <w:rPr>
          <w:b w:val="on"/>
          <w:sz w:val="22"/>
        </w:rPr>
        <w:t>14.1. Avance forfaitaire</w:t>
      </w:r>
    </w:p>
    <w:p>
      <w:pPr>
        <w:spacing w:after="120"/>
        <w:jc w:val="both"/>
      </w:pPr>
      <w:r>
        <w:rPr>
          <w:b w:val="off"/>
          <w:sz w:val="22"/>
        </w:rPr>
        <w:t>{{SI:SANS-AVANCE}}</w:t>
      </w:r>
    </w:p>
    <w:p>
      <w:pPr>
        <w:spacing w:after="120"/>
        <w:jc w:val="both"/>
      </w:pPr>
      <w:r>
        <w:rPr>
          <w:b w:val="off"/>
          <w:sz w:val="22"/>
        </w:rPr>
        <w:t>Non applicable</w:t>
      </w:r>
    </w:p>
    <w:p>
      <w:pPr>
        <w:spacing w:after="120"/>
        <w:jc w:val="both"/>
      </w:pPr>
      <w:r>
        <w:rPr>
          <w:b w:val="off"/>
          <w:sz w:val="22"/>
        </w:rPr>
        <w:t>{{FINSI:SANS-AVANCE}}</w:t>
      </w:r>
    </w:p>
    <w:p>
      <w:pPr>
        <w:spacing w:after="120"/>
        <w:jc w:val="both"/>
      </w:pPr>
      <w:r>
        <w:rPr>
          <w:b w:val="off"/>
          <w:sz w:val="22"/>
        </w:rPr>
        <w:t>{{SI:AVANCE}}</w:t>
      </w:r>
    </w:p>
    <w:p>
      <w:pPr>
        <w:spacing w:after="120"/>
        <w:jc w:val="both"/>
      </w:pPr>
      <w:r>
        <w:rPr>
          <w:b w:val="off"/>
          <w:sz w:val="22"/>
        </w:rPr>
        <w:t>Le montant de l'avance forfaitaire est de:</w:t>
      </w:r>
    </w:p>
    <w:p>
      <w:pPr>
        <w:spacing w:after="120"/>
        <w:jc w:val="both"/>
      </w:pPr>
      <w:r>
        <w:rPr>
          <w:b w:val="off"/>
          <w:sz w:val="22"/>
        </w:rPr>
        <w:t>{{FINSI:AVANCE}}</w:t>
      </w:r>
    </w:p>
    <w:p>
      <w:pPr>
        <w:spacing w:after="120"/>
        <w:jc w:val="both"/>
      </w:pPr>
      <w:r>
        <w:rPr>
          <w:b w:val="off"/>
          <w:sz w:val="22"/>
        </w:rPr>
        <w:t>{{SI:AVANCE-ARIARY}}</w:t>
      </w:r>
    </w:p>
    <w:p>
      <w:pPr>
        <w:spacing w:after="120"/>
        <w:jc w:val="both"/>
      </w:pPr>
      <w:r>
        <w:rPr>
          <w:b w:val="off"/>
          <w:sz w:val="22"/>
        </w:rPr>
        <w:t>{{B08-AF-03.chiffres}} % du montant total des travaux à exécuter</w:t>
      </w:r>
    </w:p>
    <w:p>
      <w:pPr>
        <w:spacing w:after="120"/>
        <w:jc w:val="both"/>
      </w:pPr>
      <w:r>
        <w:rPr>
          <w:b w:val="off"/>
          <w:sz w:val="22"/>
        </w:rPr>
        <w:t>{{FINSI:AVANCE-ARIARY}}</w:t>
      </w:r>
    </w:p>
    <w:p>
      <w:pPr>
        <w:spacing w:after="120"/>
        <w:jc w:val="both"/>
      </w:pPr>
      <w:r>
        <w:rPr>
          <w:b w:val="off"/>
          <w:sz w:val="22"/>
        </w:rPr>
        <w:t>{{SI:AVANCE-DEVISES}}</w:t>
      </w:r>
    </w:p>
    <w:p>
      <w:pPr>
        <w:spacing w:after="120"/>
        <w:jc w:val="both"/>
      </w:pPr>
      <w:r>
        <w:rPr>
          <w:b w:val="off"/>
          <w:sz w:val="22"/>
        </w:rPr>
        <w:t>{{B08-AF-04.chiffres}} % du montant en monnaie nationale des travaux à exécuter, et</w:t>
      </w:r>
    </w:p>
    <w:p>
      <w:pPr>
        <w:spacing w:after="120"/>
        <w:jc w:val="both"/>
      </w:pPr>
      <w:r>
        <w:rPr>
          <w:b w:val="off"/>
          <w:sz w:val="22"/>
        </w:rPr>
        <w:t>{{B08-AF-05.chiffres}} % du montant en devises des travaux à exécuter.</w:t>
      </w:r>
    </w:p>
    <w:p>
      <w:pPr>
        <w:spacing w:after="120"/>
        <w:jc w:val="both"/>
      </w:pPr>
      <w:r>
        <w:rPr>
          <w:b w:val="off"/>
          <w:sz w:val="22"/>
        </w:rPr>
        <w:t>{{FINSI:AVANCE-DEVISES}}</w:t>
      </w:r>
    </w:p>
    <w:p>
      <w:pPr>
        <w:spacing w:after="160"/>
        <w:jc w:val="left"/>
      </w:pPr>
      <w:r>
        <w:rPr>
          <w:b w:val="on"/>
          <w:sz w:val="22"/>
        </w:rPr>
        <w:t>Article 15 - Intérêts moratoires dus à l'Entrepreneur (CCAG Article 11.6)</w:t>
      </w:r>
    </w:p>
    <w:p>
      <w:pPr>
        <w:spacing w:after="120"/>
        <w:jc w:val="both"/>
      </w:pPr>
      <w:r>
        <w:rPr>
          <w:b w:val="off"/>
          <w:sz w:val="22"/>
        </w:rPr>
        <w:t>Taux des intérêts moratoires: taux directeur de la Banque Centrale de Madagascar en vigueur à la date à laquelle les intérêts moratoires auront commencé à courir, augmenté de un point.</w:t>
      </w:r>
    </w:p>
    <w:p>
      <w:pPr>
        <w:spacing w:after="160"/>
        <w:jc w:val="left"/>
      </w:pPr>
      <w:r>
        <w:rPr>
          <w:b w:val="on"/>
          <w:sz w:val="22"/>
        </w:rPr>
        <w:t>Article 16 - Modalités de règlement des comptes (CCAG Article 13)</w:t>
      </w:r>
    </w:p>
    <w:p>
      <w:pPr>
        <w:spacing w:after="120"/>
        <w:jc w:val="both"/>
      </w:pPr>
      <w:r>
        <w:rPr>
          <w:b w:val="off"/>
          <w:sz w:val="22"/>
        </w:rPr>
        <w:t>Décomptes mensuels (CCAG Article 13.1)</w:t>
      </w:r>
    </w:p>
    <w:p>
      <w:pPr>
        <w:spacing w:after="120"/>
        <w:jc w:val="both"/>
      </w:pPr>
      <w:r>
        <w:rPr>
          <w:b w:val="off"/>
          <w:sz w:val="22"/>
        </w:rPr>
        <w:t>{{SI:REGLEMENT-UNIQUE}}</w:t>
      </w:r>
    </w:p>
    <w:p>
      <w:pPr>
        <w:spacing w:after="120"/>
        <w:jc w:val="both"/>
      </w:pPr>
      <w:r>
        <w:rPr>
          <w:b w:val="off"/>
          <w:sz w:val="22"/>
        </w:rPr>
        <w:t>Les comptes seront réglés en une seule fois.</w:t>
      </w:r>
    </w:p>
    <w:p>
      <w:pPr>
        <w:spacing w:after="120"/>
        <w:jc w:val="both"/>
      </w:pPr>
      <w:r>
        <w:rPr>
          <w:b w:val="off"/>
          <w:sz w:val="22"/>
        </w:rPr>
        <w:t>{{FINSI:REGLEMENT-UNIQUE}}</w:t>
      </w:r>
    </w:p>
    <w:p>
      <w:pPr>
        <w:spacing w:after="120"/>
        <w:jc w:val="both"/>
      </w:pPr>
      <w:r>
        <w:rPr>
          <w:b w:val="off"/>
          <w:sz w:val="22"/>
        </w:rPr>
        <w:t>{{SI:DECOMPTES-MENSUELS}}</w:t>
      </w:r>
    </w:p>
    <w:p>
      <w:pPr>
        <w:spacing w:after="120"/>
        <w:jc w:val="both"/>
      </w:pPr>
      <w:r>
        <w:rPr>
          <w:b w:val="off"/>
          <w:sz w:val="22"/>
        </w:rPr>
        <w:t>Délai de remise du projet de décompte: au plus tard {{B08-MR-05}} jours ouvrables avant la fin du mois suivant le mois de réalisation des prestations considérées, ou à la date qui y sera substituée par l'avis de réunion adressé par le maître d’œuvre.</w:t>
      </w:r>
    </w:p>
    <w:p>
      <w:pPr>
        <w:spacing w:after="120"/>
        <w:jc w:val="both"/>
      </w:pPr>
      <w:r>
        <w:rPr>
          <w:b w:val="off"/>
          <w:sz w:val="22"/>
        </w:rPr>
        <w:t>{{FINSI:DECOMPTES-MENSUELS}}</w:t>
      </w:r>
    </w:p>
    <w:p>
      <w:pPr>
        <w:spacing w:after="120"/>
        <w:jc w:val="both"/>
      </w:pPr>
      <w:r>
        <w:rPr>
          <w:b w:val="off"/>
          <w:sz w:val="22"/>
        </w:rPr>
        <w:t>{{SI:UNITAIRES}}</w:t>
      </w:r>
    </w:p>
    <w:p>
      <w:pPr>
        <w:spacing w:after="120"/>
        <w:jc w:val="both"/>
      </w:pPr>
      <w:r>
        <w:rPr>
          <w:b w:val="off"/>
          <w:sz w:val="22"/>
        </w:rPr>
        <w:t>Le règlement des sommes dues à l’Entrepreneur s’effectuera par application des prix unitaires qui résultent du bordereau des prix et du détail quantitatif et estimatif aux quantités réellement exécutées prises en attachement contradictoire.</w:t>
      </w:r>
    </w:p>
    <w:p>
      <w:pPr>
        <w:spacing w:after="120"/>
        <w:jc w:val="both"/>
      </w:pPr>
      <w:r>
        <w:rPr>
          <w:b w:val="off"/>
          <w:sz w:val="22"/>
        </w:rPr>
        <w:t>{{FINSI:UNITAIRES}}</w:t>
      </w:r>
    </w:p>
    <w:p>
      <w:pPr>
        <w:spacing w:after="120"/>
        <w:jc w:val="both"/>
      </w:pPr>
      <w:r>
        <w:rPr>
          <w:b w:val="off"/>
          <w:sz w:val="22"/>
        </w:rPr>
        <w:t>{{SI:FORFAIT}}</w:t>
      </w:r>
    </w:p>
    <w:p>
      <w:pPr>
        <w:spacing w:after="120"/>
        <w:jc w:val="both"/>
      </w:pPr>
      <w:r>
        <w:rPr>
          <w:b w:val="off"/>
          <w:sz w:val="22"/>
        </w:rPr>
        <w:t>Le règlement des sommes dues à l’Entrepreneur s’effectuera par application du prix forfaitaire résultant du détail quantitatif et estimatif selon le découpage en centième par corps d’état des travaux terminés comme suit</w:t>
      </w:r>
    </w:p>
    <w:p>
      <w:pPr>
        <w:spacing w:after="120"/>
        <w:jc w:val="both"/>
      </w:pPr>
      <w:r>
        <w:rPr>
          <w:b w:val="off"/>
          <w:sz w:val="22"/>
        </w:rPr>
        <w:t>{{B08-MR-06}}</w:t>
      </w:r>
    </w:p>
    <w:p>
      <w:pPr>
        <w:spacing w:after="120"/>
        <w:jc w:val="both"/>
      </w:pPr>
      <w:r>
        <w:rPr>
          <w:b w:val="off"/>
          <w:sz w:val="22"/>
        </w:rPr>
        <w:t>- Total………………………………………100% du détail quantitatif et estimatif</w:t>
      </w:r>
    </w:p>
    <w:p>
      <w:pPr>
        <w:spacing w:after="120"/>
        <w:jc w:val="both"/>
      </w:pPr>
      <w:r>
        <w:rPr>
          <w:b w:val="off"/>
          <w:sz w:val="22"/>
        </w:rPr>
        <w:t>{{FINSI:FORFAIT}}</w:t>
      </w:r>
    </w:p>
    <w:p>
      <w:pPr>
        <w:spacing w:after="160"/>
        <w:jc w:val="left"/>
      </w:pPr>
      <w:r>
        <w:rPr>
          <w:b w:val="on"/>
          <w:sz w:val="22"/>
        </w:rPr>
        <w:t>Article 17 - Augmentation dans la masse des travaux (CCAG Article 15)</w:t>
      </w:r>
    </w:p>
    <w:p>
      <w:pPr>
        <w:spacing w:after="120"/>
        <w:jc w:val="both"/>
      </w:pPr>
      <w:r>
        <w:rPr>
          <w:b w:val="off"/>
          <w:sz w:val="22"/>
        </w:rPr>
        <w:t>Le changement dans la masse des travaux peut être demandé par ordre de service sans nécessité de conclure un avenant lorsque ces changements n'entraîne pas de variations supérieures à {{B09-MA-01}} de la masse initiale des travaux.</w:t>
      </w:r>
    </w:p>
    <w:p>
      <w:pPr>
        <w:spacing w:after="160"/>
        <w:jc w:val="left"/>
      </w:pPr>
      <w:r>
        <w:rPr>
          <w:b w:val="on"/>
          <w:sz w:val="22"/>
        </w:rPr>
        <w:t>Article 18 - Diminution dans la masse des travaux (CCAG Article 16)</w:t>
      </w:r>
    </w:p>
    <w:p>
      <w:pPr>
        <w:spacing w:after="120"/>
        <w:jc w:val="both"/>
      </w:pPr>
      <w:r>
        <w:rPr>
          <w:b w:val="off"/>
          <w:sz w:val="22"/>
        </w:rPr>
        <w:t>Le changement dans la masse des travaux peut être demandé par ordre de service sans nécessité de conclure un avenant lorsque ces changements n'entraîne pas de diminution supérieure à {{B09-MA-02}} de la masse initiale des travaux.</w:t>
      </w:r>
    </w:p>
    <w:p>
      <w:pPr>
        <w:spacing w:after="120"/>
        <w:jc w:val="both"/>
      </w:pPr>
      <w:r>
        <w:rPr>
          <w:b w:val="off"/>
          <w:sz w:val="22"/>
        </w:rPr>
        <w:t>La diminution dans la masse des travaux au delà de {{B09-MA-03}} de la masse initiale des travaux ouvre droit à indemnisation pour l'Entrepreneur.</w:t>
      </w:r>
    </w:p>
    <w:p>
      <w:pPr>
        <w:spacing w:after="160"/>
        <w:jc w:val="left"/>
      </w:pPr>
      <w:r>
        <w:rPr>
          <w:b w:val="on"/>
          <w:sz w:val="22"/>
        </w:rPr>
        <w:t>Article 19 - Changement dans l'importance des diverses natures d'ouvrage (CCAG Article 17)</w:t>
      </w:r>
    </w:p>
    <w:p>
      <w:pPr>
        <w:spacing w:after="120"/>
        <w:jc w:val="both"/>
      </w:pPr>
      <w:r>
        <w:rPr>
          <w:b w:val="off"/>
          <w:sz w:val="22"/>
        </w:rPr>
        <w:t>Le changement des quantités de certaines natures d'ouvrages peut être demandé par ordre de service sans nécessité de conclure un avenant lorsque ces changements n'entraîne pas de diminution ou d'augmentation de ces quantités supérieure à {{B09-MA-04}} des quantités portées au détail quantitatif et estimatif.</w:t>
      </w:r>
    </w:p>
    <w:p>
      <w:pPr>
        <w:spacing w:after="160"/>
        <w:jc w:val="left"/>
      </w:pPr>
      <w:r>
        <w:rPr>
          <w:b w:val="on"/>
          <w:sz w:val="22"/>
        </w:rPr>
        <w:t>Article 20 - Cas de force majeure (CCAG Article 18.3)</w:t>
      </w:r>
    </w:p>
    <w:p>
      <w:pPr>
        <w:spacing w:after="120"/>
        <w:jc w:val="both"/>
      </w:pPr>
      <w:r>
        <w:rPr>
          <w:b w:val="off"/>
          <w:sz w:val="22"/>
        </w:rPr>
        <w:t>{{SI:FORCE-MAJEURE-OUI}}</w:t>
      </w:r>
    </w:p>
    <w:p>
      <w:pPr>
        <w:spacing w:after="120"/>
        <w:jc w:val="both"/>
      </w:pPr>
      <w:r>
        <w:rPr>
          <w:b w:val="off"/>
          <w:sz w:val="22"/>
        </w:rPr>
        <w:t>Constitueront des cas de force majeure, les intempéries excédant les seuils suivants :</w:t>
      </w:r>
    </w:p>
    <w:p>
      <w:pPr>
        <w:spacing w:after="120"/>
        <w:jc w:val="both"/>
      </w:pPr>
      <w:r>
        <w:rPr>
          <w:b w:val="off"/>
          <w:sz w:val="22"/>
        </w:rPr>
        <w:t>{{B09-FM-02}}</w:t>
      </w:r>
    </w:p>
    <w:p>
      <w:pPr>
        <w:spacing w:after="120"/>
        <w:jc w:val="both"/>
      </w:pPr>
      <w:r>
        <w:rPr>
          <w:b w:val="off"/>
          <w:sz w:val="22"/>
        </w:rPr>
        <w:t>{{FINSI:FORCE-MAJEURE-OUI}}</w:t>
      </w:r>
    </w:p>
    <w:p>
      <w:pPr>
        <w:spacing w:after="120"/>
        <w:jc w:val="both"/>
      </w:pPr>
      <w:r>
        <w:rPr>
          <w:b w:val="off"/>
          <w:sz w:val="22"/>
        </w:rPr>
        <w:t>{{SI:FORCE-MAJEURE-NON}}</w:t>
      </w:r>
    </w:p>
    <w:p>
      <w:pPr>
        <w:spacing w:after="120"/>
        <w:jc w:val="both"/>
      </w:pPr>
      <w:r>
        <w:rPr>
          <w:b w:val="off"/>
          <w:sz w:val="22"/>
        </w:rPr>
        <w:t>Non applicable</w:t>
      </w:r>
    </w:p>
    <w:p>
      <w:pPr>
        <w:spacing w:after="120"/>
        <w:jc w:val="both"/>
      </w:pPr>
      <w:r>
        <w:rPr>
          <w:b w:val="off"/>
          <w:sz w:val="22"/>
        </w:rPr>
        <w:t>{{FINSI:FORCE-MAJEURE-NON}}</w:t>
      </w:r>
    </w:p>
    <w:p>
      <w:pPr>
        <w:spacing w:after="160"/>
        <w:jc w:val="left"/>
      </w:pPr>
      <w:r>
        <w:rPr>
          <w:b w:val="on"/>
          <w:sz w:val="22"/>
        </w:rPr>
        <w:t>Article 21 - Délai d'exécution (CCAG Article 19.1)</w:t>
      </w:r>
    </w:p>
    <w:p>
      <w:pPr>
        <w:spacing w:after="120"/>
        <w:jc w:val="both"/>
      </w:pPr>
      <w:r>
        <w:rPr>
          <w:b w:val="off"/>
          <w:sz w:val="22"/>
        </w:rPr>
        <w:t>Le délai d'exécution est fixé à {{B09-DL-01.parLot}} à compter du lendemain de la date de notification de l’ordre de service de commencer les travaux qui interviendra après la notification à l’Entrepreneur du marché approuvé</w:t>
      </w:r>
    </w:p>
    <w:p>
      <w:pPr>
        <w:spacing w:after="160"/>
        <w:jc w:val="left"/>
      </w:pPr>
      <w:r>
        <w:rPr>
          <w:b w:val="on"/>
          <w:sz w:val="22"/>
        </w:rPr>
        <w:t>Article 22 - Modification des délais d'exécution (CCAG Article 19.2)</w:t>
      </w:r>
    </w:p>
    <w:p>
      <w:pPr>
        <w:spacing w:after="120"/>
        <w:jc w:val="both"/>
      </w:pPr>
      <w:r>
        <w:rPr>
          <w:b w:val="off"/>
          <w:sz w:val="22"/>
        </w:rPr>
        <w:t>- Prolongation ou report du délai d'exécution par la PRMP (CCAG article 19.2.1)</w:t>
      </w:r>
    </w:p>
    <w:p>
      <w:pPr>
        <w:spacing w:after="120"/>
        <w:jc w:val="both"/>
      </w:pPr>
      <w:r>
        <w:rPr>
          <w:b w:val="off"/>
          <w:sz w:val="22"/>
        </w:rPr>
        <w:t>La PRMP peut notifier une prolongation ou un report du délai d'exécution du Marché sans qu'un avenant au Marché soit nécessaire pour une période cumulé de {{B09-MD-01}}</w:t>
      </w:r>
    </w:p>
    <w:p>
      <w:pPr>
        <w:spacing w:after="120"/>
        <w:jc w:val="both"/>
      </w:pPr>
      <w:r>
        <w:rPr>
          <w:b w:val="off"/>
          <w:sz w:val="22"/>
        </w:rPr>
        <w:t>- Nombre de journées d'intempéries prévisibles (CCAG article19.2.2)</w:t>
      </w:r>
    </w:p>
    <w:p>
      <w:pPr>
        <w:spacing w:after="120"/>
        <w:jc w:val="both"/>
      </w:pPr>
      <w:r>
        <w:rPr>
          <w:b w:val="off"/>
          <w:sz w:val="22"/>
        </w:rPr>
        <w:t>Une prolongation des délais n'est justifiée qu'au delà de {{B09-MD-02}} jours d'intempéries empêchant la poursuite des travaux</w:t>
      </w:r>
    </w:p>
    <w:p>
      <w:pPr>
        <w:spacing w:after="160"/>
        <w:jc w:val="left"/>
      </w:pPr>
      <w:r>
        <w:rPr>
          <w:b w:val="on"/>
          <w:sz w:val="22"/>
        </w:rPr>
        <w:t>Article 23 - Pénalités et retenues (CCAG Article 20.6)</w:t>
      </w:r>
    </w:p>
    <w:p>
      <w:pPr>
        <w:spacing w:after="120"/>
        <w:jc w:val="both"/>
      </w:pPr>
      <w:r>
        <w:rPr>
          <w:b w:val="off"/>
          <w:sz w:val="22"/>
        </w:rPr>
        <w:t>{{SI:PENALITES-NON}}</w:t>
      </w:r>
    </w:p>
    <w:p>
      <w:pPr>
        <w:spacing w:after="120"/>
        <w:jc w:val="both"/>
      </w:pPr>
      <w:r>
        <w:rPr>
          <w:b w:val="off"/>
          <w:sz w:val="22"/>
        </w:rPr>
        <w:t>Les pénalités journalières prévues par l'article 20 du CCAG ne s'appliquent pas.</w:t>
      </w:r>
    </w:p>
    <w:p>
      <w:pPr>
        <w:spacing w:after="120"/>
        <w:jc w:val="both"/>
      </w:pPr>
      <w:r>
        <w:rPr>
          <w:b w:val="off"/>
          <w:sz w:val="22"/>
        </w:rPr>
        <w:t>{{FINSI:PENALITES-NON}}</w:t>
      </w:r>
    </w:p>
    <w:p>
      <w:pPr>
        <w:spacing w:after="120"/>
        <w:jc w:val="both"/>
      </w:pPr>
      <w:r>
        <w:rPr>
          <w:b w:val="off"/>
          <w:sz w:val="22"/>
        </w:rPr>
        <w:t>{{SI:PENALITES-OUI}}</w:t>
      </w:r>
    </w:p>
    <w:p>
      <w:pPr>
        <w:spacing w:after="120"/>
        <w:jc w:val="both"/>
      </w:pPr>
      <w:r>
        <w:rPr>
          <w:b w:val="off"/>
          <w:sz w:val="22"/>
        </w:rPr>
        <w:t>Les pénalités journalières applicables sont fixées à :</w:t>
      </w:r>
    </w:p>
    <w:p>
      <w:pPr>
        <w:spacing w:after="120"/>
        <w:jc w:val="both"/>
      </w:pPr>
      <w:r>
        <w:rPr>
          <w:b w:val="off"/>
          <w:sz w:val="22"/>
        </w:rPr>
        <w:t>{{B09-PE-02}} du montant du Marché ou de la tranche considérée dans la limite de {{B09-PE-03.chiffres}} % du montant global du Marché ou de la tranche considérée.</w:t>
      </w:r>
    </w:p>
    <w:p>
      <w:pPr>
        <w:spacing w:after="120"/>
        <w:jc w:val="both"/>
      </w:pPr>
      <w:r>
        <w:rPr>
          <w:b w:val="off"/>
          <w:sz w:val="22"/>
        </w:rPr>
        <w:t>{{FINSI:PENALITES-OUI}}</w:t>
      </w:r>
    </w:p>
    <w:p>
      <w:pPr>
        <w:spacing w:after="160"/>
        <w:jc w:val="left"/>
      </w:pPr>
      <w:r>
        <w:rPr>
          <w:b w:val="on"/>
          <w:sz w:val="22"/>
        </w:rPr>
        <w:t>Article 24 - Vérification qualitative des matériaux et produits (CCAG Article 24.3)</w:t>
      </w:r>
    </w:p>
    <w:p>
      <w:pPr>
        <w:spacing w:after="120"/>
        <w:jc w:val="both"/>
      </w:pPr>
      <w:r>
        <w:rPr>
          <w:b w:val="off"/>
          <w:sz w:val="22"/>
        </w:rPr>
        <w:t>{{B09-VQ-01}}</w:t>
      </w:r>
    </w:p>
    <w:p>
      <w:pPr>
        <w:spacing w:after="160"/>
        <w:jc w:val="left"/>
      </w:pPr>
      <w:r>
        <w:rPr>
          <w:b w:val="on"/>
          <w:sz w:val="22"/>
        </w:rPr>
        <w:t>Article 25- Prise en charge par l'Entrepreneur des matériaux et produits fournis par le Maître de l'Ouvrage (CCAG Article 26)</w:t>
      </w:r>
    </w:p>
    <w:p>
      <w:pPr>
        <w:spacing w:after="120"/>
        <w:jc w:val="both"/>
      </w:pPr>
      <w:r>
        <w:rPr>
          <w:b w:val="off"/>
          <w:sz w:val="22"/>
        </w:rPr>
        <w:t>{{B09-PM-01}}</w:t>
      </w:r>
    </w:p>
    <w:p>
      <w:pPr>
        <w:spacing w:after="160"/>
        <w:jc w:val="left"/>
      </w:pPr>
      <w:r>
        <w:rPr>
          <w:b w:val="on"/>
          <w:sz w:val="22"/>
        </w:rPr>
        <w:t>Article 26 - Préparation des travaux (CCAG Article 28)</w:t>
      </w:r>
    </w:p>
    <w:p>
      <w:pPr>
        <w:spacing w:after="120"/>
        <w:jc w:val="both"/>
      </w:pPr>
      <w:r>
        <w:rPr>
          <w:b w:val="off"/>
          <w:sz w:val="22"/>
        </w:rPr>
        <w:t>{{SI:PREPARATION-NON}}</w:t>
      </w:r>
    </w:p>
    <w:p>
      <w:pPr>
        <w:spacing w:after="120"/>
        <w:jc w:val="both"/>
      </w:pPr>
      <w:r>
        <w:rPr>
          <w:b w:val="off"/>
          <w:sz w:val="22"/>
        </w:rPr>
        <w:t>Il n'est pas prévu de période de préparation</w:t>
      </w:r>
    </w:p>
    <w:p>
      <w:pPr>
        <w:spacing w:after="120"/>
        <w:jc w:val="both"/>
      </w:pPr>
      <w:r>
        <w:rPr>
          <w:b w:val="off"/>
          <w:sz w:val="22"/>
        </w:rPr>
        <w:t>{{FINSI:PREPARATION-NON}}</w:t>
      </w:r>
    </w:p>
    <w:p>
      <w:pPr>
        <w:spacing w:after="120"/>
        <w:jc w:val="both"/>
      </w:pPr>
      <w:r>
        <w:rPr>
          <w:b w:val="off"/>
          <w:sz w:val="22"/>
        </w:rPr>
        <w:t>{{SI:PREPARATION-OUI}}</w:t>
      </w:r>
    </w:p>
    <w:p>
      <w:pPr>
        <w:spacing w:after="120"/>
        <w:jc w:val="both"/>
      </w:pPr>
      <w:r>
        <w:rPr>
          <w:b w:val="off"/>
          <w:sz w:val="22"/>
        </w:rPr>
        <w:t>26.1. Durée maximum de la période de préparation comprise dans le délai d'exécution du marché:</w:t>
      </w:r>
    </w:p>
    <w:p>
      <w:pPr>
        <w:spacing w:after="120"/>
        <w:jc w:val="both"/>
      </w:pPr>
      <w:r>
        <w:rPr>
          <w:b w:val="off"/>
          <w:sz w:val="22"/>
        </w:rPr>
        <w:t>{{B09-PT-02}} à compter du démarrage du délai d’exécution du marché.</w:t>
      </w:r>
    </w:p>
    <w:p>
      <w:pPr>
        <w:spacing w:after="120"/>
        <w:jc w:val="both"/>
      </w:pPr>
      <w:r>
        <w:rPr>
          <w:b w:val="off"/>
          <w:sz w:val="22"/>
        </w:rPr>
        <w:t>26.2. Délai de soumission du programme d'exécution:</w:t>
      </w:r>
    </w:p>
    <w:p>
      <w:pPr>
        <w:spacing w:after="120"/>
        <w:jc w:val="both"/>
      </w:pPr>
      <w:r>
        <w:rPr>
          <w:b w:val="off"/>
          <w:sz w:val="22"/>
        </w:rPr>
        <w:t>{{B09-PT-03}} jours avant l'expiration de la période de préparation.</w:t>
      </w:r>
    </w:p>
    <w:p>
      <w:pPr>
        <w:spacing w:after="120"/>
        <w:jc w:val="both"/>
      </w:pPr>
      <w:r>
        <w:rPr>
          <w:b w:val="off"/>
          <w:sz w:val="22"/>
        </w:rPr>
        <w:t>{{FINSI:PREPARATION-OUI}}</w:t>
      </w:r>
    </w:p>
    <w:p>
      <w:pPr>
        <w:spacing w:after="120"/>
        <w:jc w:val="both"/>
      </w:pPr>
      <w:r>
        <w:rPr>
          <w:b w:val="off"/>
          <w:sz w:val="22"/>
        </w:rPr>
        <w:t>{{SI:HYGIENE}}</w:t>
      </w:r>
    </w:p>
    <w:p>
      <w:pPr>
        <w:spacing w:after="120"/>
        <w:jc w:val="both"/>
      </w:pPr>
      <w:r>
        <w:rPr>
          <w:b w:val="off"/>
          <w:sz w:val="22"/>
        </w:rPr>
        <w:t>26.3. Un plan d'hygiène et de sécurité sur le chantier doit être remis :</w:t>
      </w:r>
    </w:p>
    <w:p>
      <w:pPr>
        <w:spacing w:after="120"/>
        <w:jc w:val="both"/>
      </w:pPr>
      <w:r>
        <w:rPr>
          <w:b w:val="off"/>
          <w:sz w:val="22"/>
        </w:rPr>
        <w:t>{{B09-PT-04}} jours avant l'expiration de la période de préparation.</w:t>
      </w:r>
    </w:p>
    <w:p>
      <w:pPr>
        <w:spacing w:after="120"/>
        <w:jc w:val="both"/>
      </w:pPr>
      <w:r>
        <w:rPr>
          <w:b w:val="off"/>
          <w:sz w:val="22"/>
        </w:rPr>
        <w:t>{{FINSI:HYGIENE}}</w:t>
      </w:r>
    </w:p>
    <w:p>
      <w:pPr>
        <w:spacing w:after="160"/>
        <w:jc w:val="left"/>
      </w:pPr>
      <w:r>
        <w:rPr>
          <w:b w:val="on"/>
          <w:sz w:val="22"/>
        </w:rPr>
        <w:t>Article 27 - Visa des documents d'exécution par le Maître d' oeuvre (CCAG Article 29.1.4)</w:t>
      </w:r>
    </w:p>
    <w:p>
      <w:pPr>
        <w:spacing w:after="120"/>
        <w:jc w:val="both"/>
      </w:pPr>
      <w:r>
        <w:rPr>
          <w:b w:val="off"/>
          <w:sz w:val="22"/>
        </w:rPr>
        <w:t>Le visa du Maître d'Oeuvre sur les documents nécessaires à cette exécution est donné dans un délai de {{B09-VX-01}}</w:t>
      </w:r>
    </w:p>
    <w:p>
      <w:pPr>
        <w:spacing w:after="160"/>
        <w:jc w:val="left"/>
      </w:pPr>
      <w:r>
        <w:rPr>
          <w:b w:val="on"/>
          <w:sz w:val="22"/>
        </w:rPr>
        <w:t>Article 28 - Réception provisoire (CCAG Article 41)</w:t>
      </w:r>
    </w:p>
    <w:p>
      <w:pPr>
        <w:spacing w:after="160"/>
        <w:jc w:val="left"/>
      </w:pPr>
      <w:r>
        <w:rPr>
          <w:b w:val="on"/>
          <w:sz w:val="22"/>
        </w:rPr>
        <w:t>28.1. Réception par tranches (CCAG Article 41.1.)</w:t>
      </w:r>
    </w:p>
    <w:p>
      <w:pPr>
        <w:spacing w:after="120"/>
        <w:jc w:val="both"/>
      </w:pPr>
      <w:r>
        <w:rPr>
          <w:b w:val="off"/>
          <w:sz w:val="22"/>
        </w:rPr>
        <w:t>{{SI:RECEPTION-TRANCHES}}</w:t>
      </w:r>
    </w:p>
    <w:p>
      <w:pPr>
        <w:spacing w:after="120"/>
        <w:jc w:val="both"/>
      </w:pPr>
      <w:r>
        <w:rPr>
          <w:b w:val="off"/>
          <w:sz w:val="22"/>
        </w:rPr>
        <w:t>Les tranches de travaux comportant des délai d'exécution distincts identifiées &lt;soit&gt; à l'article 1 du présent CCAP &lt;soit&gt; par les Spécifications Techniques, donneront lieu à des réceptions partielles. La réception de la dernière tranche tiendra lieu de réception provisoire de travaux au sens du présent Marché.</w:t>
      </w:r>
    </w:p>
    <w:p>
      <w:pPr>
        <w:spacing w:after="120"/>
        <w:jc w:val="both"/>
      </w:pPr>
      <w:r>
        <w:rPr>
          <w:b w:val="off"/>
          <w:sz w:val="22"/>
        </w:rPr>
        <w:t>{{FINSI:RECEPTION-TRANCHES}}</w:t>
      </w:r>
    </w:p>
    <w:p>
      <w:pPr>
        <w:spacing w:after="160"/>
        <w:jc w:val="left"/>
      </w:pPr>
      <w:r>
        <w:rPr>
          <w:b w:val="on"/>
          <w:sz w:val="22"/>
        </w:rPr>
        <w:t>28.2. Opérations préalables (CCAG Article 41.2.)</w:t>
      </w:r>
    </w:p>
    <w:p>
      <w:pPr>
        <w:spacing w:after="120"/>
        <w:jc w:val="both"/>
      </w:pPr>
      <w:r>
        <w:rPr>
          <w:b w:val="off"/>
          <w:sz w:val="22"/>
        </w:rPr>
        <w:t>a) Début des opérations préalables</w:t>
      </w:r>
    </w:p>
    <w:p>
      <w:pPr>
        <w:spacing w:after="120"/>
        <w:jc w:val="both"/>
      </w:pPr>
      <w:r>
        <w:rPr>
          <w:b w:val="off"/>
          <w:sz w:val="22"/>
        </w:rPr>
        <w:t>Par dérogation au CCAG, le délai du début des opérations préalables à la réception des ouvrages à compter de la réception de l'avis de l'Entrepreneur est de {{B09-RP-03}} jours.</w:t>
      </w:r>
    </w:p>
    <w:p>
      <w:pPr>
        <w:spacing w:after="120"/>
        <w:jc w:val="both"/>
      </w:pPr>
      <w:r>
        <w:rPr>
          <w:b w:val="off"/>
          <w:sz w:val="22"/>
        </w:rPr>
        <w:t>b) Modalités de réception des travaux</w:t>
      </w:r>
    </w:p>
    <w:p>
      <w:pPr>
        <w:spacing w:after="120"/>
        <w:jc w:val="both"/>
      </w:pPr>
      <w:r>
        <w:rPr>
          <w:b w:val="off"/>
          <w:sz w:val="22"/>
        </w:rPr>
        <w:t>Les modalités de réception des travaux sont décrites en annexe aux Spécifications Techniques :</w:t>
      </w:r>
    </w:p>
    <w:p>
      <w:pPr>
        <w:spacing w:after="120"/>
        <w:jc w:val="both"/>
      </w:pPr>
      <w:r>
        <w:rPr>
          <w:b w:val="off"/>
          <w:sz w:val="22"/>
        </w:rPr>
        <w:t>{{B09-RP-04}}</w:t>
      </w:r>
    </w:p>
    <w:p>
      <w:pPr>
        <w:spacing w:after="120"/>
        <w:jc w:val="both"/>
      </w:pPr>
      <w:r>
        <w:rPr>
          <w:b w:val="off"/>
          <w:sz w:val="22"/>
        </w:rPr>
        <w:t>La constatation du repliement des installations de chantier et de la remise en état des lieux n'est pas comprise dans les opérations de réception.</w:t>
      </w:r>
    </w:p>
    <w:p>
      <w:pPr>
        <w:spacing w:after="120"/>
        <w:jc w:val="both"/>
      </w:pPr>
      <w:r>
        <w:rPr>
          <w:b w:val="off"/>
          <w:sz w:val="22"/>
        </w:rPr>
        <w:t>Sur demande de l’Entrepreneur, la réception prononcée par une Commission de réception désignée par une Décision du Maître de l’ouvrage vaudra Réception provisoire. La réception définitive sera prononcée dans les mêmes formes à l’issue du délai de garantie</w:t>
      </w:r>
    </w:p>
    <w:p>
      <w:pPr>
        <w:spacing w:after="160"/>
        <w:jc w:val="left"/>
      </w:pPr>
      <w:r>
        <w:rPr>
          <w:b w:val="on"/>
          <w:sz w:val="22"/>
        </w:rPr>
        <w:t>Article 29 - Délai de garantie (CCAG Article 44.1)</w:t>
      </w:r>
    </w:p>
    <w:p>
      <w:pPr>
        <w:spacing w:after="120"/>
        <w:jc w:val="both"/>
      </w:pPr>
      <w:r>
        <w:rPr>
          <w:b w:val="off"/>
          <w:sz w:val="22"/>
        </w:rPr>
        <w:t>Par dérogation aux dispositions de l’Article 44.1 du CCAG, le délai de garantie est fixé à :</w:t>
      </w:r>
    </w:p>
    <w:p>
      <w:pPr>
        <w:spacing w:after="120"/>
        <w:jc w:val="both"/>
      </w:pPr>
      <w:r>
        <w:rPr>
          <w:b w:val="off"/>
          <w:sz w:val="22"/>
        </w:rPr>
        <w:t>{{B09-GT-01}} mois</w:t>
      </w:r>
    </w:p>
    <w:p>
      <w:pPr>
        <w:spacing w:after="120"/>
        <w:jc w:val="both"/>
      </w:pPr>
      <w:r>
        <w:rPr>
          <w:b w:val="off"/>
          <w:sz w:val="22"/>
        </w:rPr>
        <w:t>Sur demande de l’Entrepreneur, la réception prononcée par une Commission de réception désignée par une Décision du Maître de l’ouvrage vaudra Réception provisoire. La réception définitive sera prononcée dans les mêmes formes à l’issue du délai de garantie</w:t>
      </w:r>
    </w:p>
    <w:p>
      <w:pPr>
        <w:spacing w:after="160"/>
        <w:jc w:val="left"/>
      </w:pPr>
      <w:r>
        <w:rPr>
          <w:b w:val="on"/>
          <w:sz w:val="22"/>
        </w:rPr>
        <w:t>Article 30 – Résiliation du marché aux torts de l’Entrepreneurs</w:t>
      </w:r>
    </w:p>
    <w:p>
      <w:pPr>
        <w:spacing w:after="120"/>
        <w:jc w:val="both"/>
      </w:pPr>
      <w:r>
        <w:rPr>
          <w:b w:val="off"/>
          <w:sz w:val="22"/>
        </w:rPr>
        <w:t>1.- Le marché peut-être résilié unilatéralement par le maître de l’ouvrage aux torts de l’entrepreneur, sans mise en demeure préalable, dans les cas suivants :</w:t>
      </w:r>
    </w:p>
    <w:p>
      <w:pPr>
        <w:spacing w:after="120"/>
        <w:jc w:val="both"/>
      </w:pPr>
      <w:r>
        <w:rPr>
          <w:b w:val="off"/>
          <w:sz w:val="22"/>
        </w:rPr>
        <w:t>a. Lorsque l’entrepreneur déclare ne pas pouvoir tenir ses engagements ou lorsqu’il ne s’en est pas acquitté dans les délais contractuels, à moins qu’il ne puisse invoquer le cas de force majeur, le fait du maître de l’ouvrage ou des sujétions imprévus ;</w:t>
      </w:r>
    </w:p>
    <w:p>
      <w:pPr>
        <w:spacing w:after="120"/>
        <w:jc w:val="both"/>
      </w:pPr>
      <w:r>
        <w:rPr>
          <w:b w:val="off"/>
          <w:sz w:val="22"/>
        </w:rPr>
        <w:t>b .Lorsqu’il est établi que l’entrepreneur a fourni de faux renseignements sur ses qualités et aptitude dans la mesures ou celles-ci ont constitués des éléments essentiels pour la passation du marché ;</w:t>
      </w:r>
    </w:p>
    <w:p>
      <w:pPr>
        <w:spacing w:after="120"/>
        <w:jc w:val="both"/>
      </w:pPr>
      <w:r>
        <w:rPr>
          <w:b w:val="off"/>
          <w:sz w:val="22"/>
        </w:rPr>
        <w:t>c. Lorsque, sans autorisation expresse du maître de l’ouvrage, l’entrepreneur a confié à des sous-traitant l’exécution de tout ou partie des prestations faisant l’objet du marché, en a fait apport à une société, ou à constitué un groupement pour en assurer l’exécution.</w:t>
      </w:r>
    </w:p>
    <w:p>
      <w:pPr>
        <w:spacing w:after="120"/>
        <w:jc w:val="both"/>
      </w:pPr>
      <w:r>
        <w:rPr>
          <w:b w:val="off"/>
          <w:sz w:val="22"/>
        </w:rPr>
        <w:t>d. Lorsqu’ les opérations de vérification ont permis de constater des malfaçons dans une proportion supérieure au quart des prestations exécutées ;</w:t>
      </w:r>
    </w:p>
    <w:p>
      <w:pPr>
        <w:spacing w:after="120"/>
        <w:jc w:val="both"/>
      </w:pPr>
      <w:r>
        <w:rPr>
          <w:b w:val="off"/>
          <w:sz w:val="22"/>
        </w:rPr>
        <w:t>e. Lorsque l’entrepreneur s’est livré, à l’occasion de son marché, a des actes frauduleux portant sur la nature, la qualité ou la quantité des prestations.</w:t>
      </w:r>
    </w:p>
    <w:p>
      <w:pPr>
        <w:spacing w:after="120"/>
        <w:jc w:val="both"/>
      </w:pPr>
      <w:r>
        <w:rPr>
          <w:b w:val="off"/>
          <w:sz w:val="22"/>
        </w:rPr>
        <w:t>2.- Le marché peut être résilié unilatéralement par le maître de l’ouvrage après mise en demeure restée sans effets dans le délai imparti, dans les cas suivants :</w:t>
      </w:r>
    </w:p>
    <w:p>
      <w:pPr>
        <w:spacing w:after="120"/>
        <w:jc w:val="both"/>
      </w:pPr>
      <w:r>
        <w:rPr>
          <w:b w:val="off"/>
          <w:sz w:val="22"/>
        </w:rPr>
        <w:t>a. Lorsque l’entrepreneur contrevient de manière flagrante à la législation ou la réglementation du travail et, notamment, aux prescriptions des articles 130, 136,137 et 138 de l’Ordonnance</w:t>
      </w:r>
    </w:p>
    <w:p>
      <w:pPr>
        <w:spacing w:after="120"/>
        <w:jc w:val="both"/>
      </w:pPr>
      <w:r>
        <w:rPr>
          <w:b w:val="off"/>
          <w:sz w:val="22"/>
        </w:rPr>
        <w:t>n° 60-119 du 1er Octobre 1960 portant Code de Travail</w:t>
      </w:r>
    </w:p>
    <w:p>
      <w:pPr>
        <w:spacing w:after="120"/>
        <w:jc w:val="both"/>
      </w:pPr>
      <w:r>
        <w:rPr>
          <w:b w:val="off"/>
          <w:sz w:val="22"/>
        </w:rPr>
        <w:t>b. Lorsqu’il fait un mauvais emploi ou une utilisation abusive du matériel ou des approvisionnement mis à sa disposition par le maître de l’ouvrage ;</w:t>
      </w:r>
    </w:p>
    <w:p>
      <w:pPr>
        <w:spacing w:after="120"/>
        <w:jc w:val="both"/>
      </w:pPr>
      <w:r>
        <w:rPr>
          <w:b w:val="off"/>
          <w:sz w:val="22"/>
        </w:rPr>
        <w:t>c. Lorsqu’il ne prend pas les mesures qui lui incombent pour faire cesser le trouble éventuellement subi par le maître de l’ouvrage du fait de cesser la trouble éventuellement subi par le maître de l’ouvrage du fait de revendications formulées par des tiers au sujet de l’exécution du contrat ;</w:t>
      </w:r>
    </w:p>
    <w:p>
      <w:pPr>
        <w:spacing w:after="120"/>
        <w:jc w:val="both"/>
      </w:pPr>
      <w:r>
        <w:rPr>
          <w:b w:val="off"/>
          <w:sz w:val="22"/>
        </w:rPr>
        <w:t>d. Lorsqu’il entrave le libre exercice de la surveillance ou du contrôle par les agents du maître de l’ouvrage ;</w:t>
      </w:r>
    </w:p>
    <w:p>
      <w:pPr>
        <w:spacing w:after="120"/>
        <w:jc w:val="both"/>
      </w:pPr>
      <w:r>
        <w:rPr>
          <w:b w:val="off"/>
          <w:sz w:val="22"/>
        </w:rPr>
        <w:t>e. Lorsqu’il a pris un tel retard dans l’exécution du marché que le respect des délais contractuels devient manifestement impossible sans un effort particulier.</w:t>
      </w:r>
    </w:p>
    <w:p>
      <w:pPr>
        <w:spacing w:after="120"/>
        <w:jc w:val="both"/>
      </w:pPr>
      <w:r>
        <w:rPr>
          <w:b w:val="off"/>
          <w:sz w:val="22"/>
        </w:rPr>
        <w:t>f. D’une façon générale, toutes les fois que le titulaire ne se conforme soit aux dispositions du marché, soit aux ordre de service écrits qui lui sont donnés par le maître de l’ouvrage ;</w:t>
      </w:r>
    </w:p>
    <w:p>
      <w:pPr>
        <w:spacing w:after="120"/>
        <w:jc w:val="both"/>
      </w:pPr>
      <w:r>
        <w:rPr>
          <w:b w:val="off"/>
          <w:sz w:val="22"/>
        </w:rPr>
        <w:t>3.- La résiliation aux torts de l’entrepreneur ne fait pas l’obstacle à la mise en œuvre des actions civiles ou pénales qui pourraient lui être intentées en raison de ses fautes, non plus qu’à son exclusion temporaire des marchés publics par application des dispositions de l’Article 54 alinéa 6 de la Loi n° 2004-009 du 26 juillet 2004 portant Code des Marchés Publics</w:t>
      </w:r>
    </w:p>
    <w:p>
      <w:pPr>
        <w:spacing w:after="160"/>
        <w:jc w:val="left"/>
      </w:pPr>
      <w:r>
        <w:rPr>
          <w:b w:val="on"/>
          <w:sz w:val="22"/>
        </w:rPr>
        <w:t>Article 31 - Procédure contentieuse (CCAG Article 50.3)</w:t>
      </w:r>
    </w:p>
    <w:p>
      <w:pPr>
        <w:spacing w:after="120"/>
        <w:jc w:val="both"/>
      </w:pPr>
      <w:r>
        <w:rPr>
          <w:b w:val="off"/>
          <w:sz w:val="22"/>
        </w:rPr>
        <w:t>{{B10-PC-01}}</w:t>
      </w:r>
    </w:p>
    <w:p>
      <w:pPr>
        <w:spacing w:after="160"/>
        <w:jc w:val="left"/>
      </w:pPr>
      <w:r>
        <w:rPr>
          <w:b w:val="on"/>
          <w:sz w:val="22"/>
        </w:rPr>
        <w:t>Article 32 - Dérogations aux documents généraux</w:t>
      </w:r>
    </w:p>
    <w:p>
      <w:pPr>
        <w:spacing w:after="120"/>
        <w:jc w:val="both"/>
      </w:pPr>
      <w:r>
        <w:rPr>
          <w:b w:val="off"/>
          <w:sz w:val="22"/>
        </w:rPr>
        <w:t>Les dérogations explicitées dans les articles désignées ci-après du CCAP et de ses annexes sont apportées aux articles suivants du Cahier des Clauses Administratives Générales (CCAG).</w:t>
      </w:r>
    </w:p>
    <w:tbl>
      <w:tblPr>
        <w:tblW w:w="5000" w:type="pct"/>
        <w:tblBorders>
          <w:top w:val="single"/>
          <w:left w:val="single"/>
          <w:bottom w:val="single"/>
          <w:right w:val="single"/>
          <w:insideH w:val="single"/>
          <w:insideV w:val="single"/>
        </w:tblBorders>
      </w:tblPr>
      <w:tr>
        <w:tc>
          <w:tcPr>
            <w:tcW w:type="pct" w:w="2500"/>
          </w:tcPr>
          <w:p>
            <w:r>
              <w:rPr>
                <w:sz w:val="20"/>
              </w:rPr>
              <w:t>Article des CCAG auquel</w:t>
            </w:r>
          </w:p>
          <w:p>
            <w:r>
              <w:rPr>
                <w:sz w:val="20"/>
              </w:rPr>
              <w:t>il est dérogé</w:t>
            </w:r>
          </w:p>
        </w:tc>
        <w:tc>
          <w:tcPr>
            <w:tcW w:type="pct" w:w="2500"/>
          </w:tcPr>
          <w:p>
            <w:r>
              <w:rPr>
                <w:sz w:val="20"/>
              </w:rPr>
              <w:t>Article du CCAP</w:t>
            </w:r>
          </w:p>
        </w:tc>
      </w:tr>
    </w:tbl>
    <w:p/>
    <w:p>
      <w:pPr>
        <w:spacing w:after="120"/>
        <w:jc w:val="both"/>
      </w:pPr>
      <w:r>
        <w:rPr>
          <w:b w:val="off"/>
          <w:sz w:val="22"/>
        </w:rPr>
        <w:t>{{SI:DEROGATIONS}}</w:t>
      </w:r>
    </w:p>
    <w:p>
      <w:pPr>
        <w:spacing w:after="120"/>
        <w:jc w:val="both"/>
      </w:pPr>
      <w:r>
        <w:rPr>
          <w:b w:val="off"/>
          <w:sz w:val="22"/>
        </w:rPr>
        <w:t>{{B10-DR-01}}</w:t>
      </w:r>
    </w:p>
    <w:p>
      <w:pPr>
        <w:spacing w:after="120"/>
        <w:jc w:val="both"/>
      </w:pPr>
      <w:r>
        <w:rPr>
          <w:b w:val="off"/>
          <w:sz w:val="22"/>
        </w:rPr>
        <w:t>{{FINSI:DEROGATIONS}}</w:t>
      </w:r>
    </w:p>
    <w:p>
      <w:pPr>
        <w:spacing w:after="120"/>
        <w:jc w:val="both"/>
      </w:pPr>
      <w:r>
        <w:rPr>
          <w:b w:val="off"/>
          <w:sz w:val="22"/>
        </w:rPr>
        <w:t>{{SI:REVISABLE}}</w:t>
      </w:r>
    </w:p>
    <w:p>
      <w:pPr>
        <w:spacing w:after="160"/>
        <w:jc w:val="left"/>
      </w:pPr>
      <w:r>
        <w:rPr>
          <w:b w:val="on"/>
          <w:sz w:val="22"/>
        </w:rPr>
        <w:t>Annexe au CCAP</w:t>
      </w:r>
    </w:p>
    <w:p>
      <w:pPr>
        <w:spacing w:after="120"/>
        <w:jc w:val="both"/>
      </w:pPr>
      <w:r>
        <w:rPr>
          <w:b w:val="off"/>
          <w:sz w:val="22"/>
        </w:rPr>
        <w:t>Modèle de formule de révision des prix</w:t>
      </w:r>
    </w:p>
    <w:p>
      <w:pPr>
        <w:spacing w:after="120"/>
        <w:jc w:val="both"/>
      </w:pPr>
      <w:r>
        <w:rPr>
          <w:b w:val="off"/>
          <w:sz w:val="22"/>
        </w:rPr>
        <w:t>Les montants payables à l'Entrepreneur, conformément aux dispositions du Marché, seront sujets à révision pendant l’exécution du Marché pour prendre en compte les changements intervenus dans le coût de la main-d’œuvre et des composants matériels, en faisant application de la formule suivante :</w:t>
      </w:r>
    </w:p>
    <w:p>
      <w:pPr>
        <w:spacing w:after="120"/>
        <w:jc w:val="both"/>
      </w:pPr>
      <w:r>
        <w:rPr>
          <w:b w:val="off"/>
          <w:sz w:val="22"/>
        </w:rPr>
        <w:t>REV = X + (a) T/To + (b) S/So + (c) F/Fo + ...</w:t>
      </w:r>
    </w:p>
    <w:p>
      <w:pPr>
        <w:spacing w:after="120"/>
        <w:jc w:val="both"/>
      </w:pPr>
      <w:r>
        <w:rPr>
          <w:b w:val="off"/>
          <w:sz w:val="22"/>
        </w:rPr>
        <w:t>dans laquelle :</w:t>
      </w:r>
    </w:p>
    <w:p>
      <w:pPr>
        <w:spacing w:after="120"/>
        <w:jc w:val="both"/>
      </w:pPr>
      <w:r>
        <w:rPr>
          <w:b w:val="off"/>
          <w:sz w:val="22"/>
        </w:rPr>
        <w:t>REV est le coefficient de révision qui s’appliquera à chaque paiement conformément aux modalités d’application et de révision détaillées respectivement aux alinéas (b) et (c) du présent paragraphe. Lors de chaque paiement, le montant à payer dans une monnaie donnée fera l’objet d’une révision par la multiplication du coefficient REV correspondant.</w:t>
      </w:r>
    </w:p>
    <w:p>
      <w:pPr>
        <w:spacing w:after="120"/>
        <w:jc w:val="both"/>
      </w:pPr>
      <w:r>
        <w:rPr>
          <w:b w:val="off"/>
          <w:sz w:val="22"/>
        </w:rPr>
        <w:t>X constitue la partie fixe non révisable des paiements et (a), (b), (c), etc. représentent les paramètres de pondération des facteurs sujets à révision sur la base des valeurs des indices, T, S, F, etc.</w:t>
      </w:r>
    </w:p>
    <w:p>
      <w:pPr>
        <w:spacing w:after="120"/>
        <w:jc w:val="both"/>
      </w:pPr>
      <w:r>
        <w:rPr>
          <w:b w:val="off"/>
          <w:sz w:val="22"/>
        </w:rPr>
        <w:t>Les valeurs respectives des paramètres X, a, b, c, etc. sont fixées par le Candidat dans l’annexe à l'Acte d'Engagement dans les limites spécifiées par le Maître de l'ouvrage dans le tableau ci-après, étant précisé que X + a + b + c + etc = 1.</w:t>
      </w:r>
    </w:p>
    <w:p>
      <w:pPr>
        <w:spacing w:after="120"/>
        <w:jc w:val="both"/>
      </w:pPr>
      <w:r>
        <w:rPr>
          <w:b w:val="off"/>
          <w:sz w:val="22"/>
        </w:rPr>
        <w:t>T, S, F, etc., et To, So, Fo, etc. représentent la valeur des indices correspondants aux facteurs inclus dans la formule. La définition et l’origine de ces indices sont spécifiés dans le tableau ci-après. Les valeurs de T, S, F, etc. seront celles en vigueur au cours du mois où interviendra le fait générateur de paiement, et les valeurs To, So, Fo, etc. sont celles en vigueur au cours du mois de la date d'établissement des prix, à savoir quinze jours avant la date limite fixée pour la remise des offres.</w:t>
      </w:r>
    </w:p>
    <w:p>
      <w:pPr>
        <w:spacing w:after="120"/>
        <w:jc w:val="both"/>
      </w:pPr>
      <w:r>
        <w:rPr>
          <w:b w:val="off"/>
          <w:sz w:val="22"/>
        </w:rPr>
        <w:t>(b) en cas de pluralité de monnaie de paiement, il y aura une formule pour chaque monnaie, étant précisé que les indices T, S, F, etc., et To, So, Fo, etc., doivent correspondre aux indices du pays d’origine des dépenses correspondantes à chacune des monnaies, donnés en Annexe à l'Acte d'Engagement.</w:t>
      </w:r>
    </w:p>
    <w:p>
      <w:pPr>
        <w:spacing w:after="120"/>
        <w:jc w:val="both"/>
      </w:pPr>
      <w:r>
        <w:rPr>
          <w:b w:val="off"/>
          <w:sz w:val="22"/>
        </w:rPr>
        <w:t>Dans le cas où les indices et les monnaies spécifiées pour le paiement de la part en monnaie étrangère ont des pays d’origine différent, un coefficient correcteur sera spécifié au CCAP pour corriger les distorsions introduites de ce fait.</w:t>
      </w:r>
    </w:p>
    <w:p>
      <w:pPr>
        <w:spacing w:after="120"/>
        <w:jc w:val="both"/>
      </w:pPr>
      <w:r>
        <w:rPr>
          <w:b w:val="off"/>
          <w:sz w:val="22"/>
        </w:rPr>
        <w:t>Dans le cas où les indices officiels devant servir à la révision de prix ne seraient connus qu’avec retard, des révisions provisoires seront calculées sur la base des dernières valeurs connues desdits indices ou à défaut sur des valeurs arrêtées d’un commun accord. Les révisions seront réajustées dès la parution des valeurs relatives aux mois considérés.</w:t>
      </w:r>
    </w:p>
    <w:p>
      <w:pPr>
        <w:spacing w:after="120"/>
        <w:jc w:val="both"/>
      </w:pPr>
      <w:r>
        <w:rPr>
          <w:b w:val="off"/>
          <w:sz w:val="22"/>
        </w:rPr>
        <w:t>En cas d’un retard dans l’exécution des travaux imputable à l’Entrepreneur, les prestations réalisées après le délai contractuel d’exécution seront payées sur la base des prix révisés au jour de l’expiration du délai contractuel d’exécution (lui - même, éventuellement prorogé de la durée des retards non imputables à l’Entrepreneur).</w:t>
      </w:r>
    </w:p>
    <w:p>
      <w:pPr>
        <w:spacing w:after="120"/>
        <w:jc w:val="both"/>
      </w:pPr>
      <w:r>
        <w:rPr>
          <w:b w:val="off"/>
          <w:sz w:val="22"/>
        </w:rPr>
        <w:t>Facteurs utilisés pour les formules de révision des prix</w:t>
      </w:r>
    </w:p>
    <w:p>
      <w:pPr>
        <w:spacing w:after="120"/>
        <w:jc w:val="both"/>
      </w:pPr>
      <w:r>
        <w:rPr>
          <w:b w:val="off"/>
          <w:sz w:val="22"/>
        </w:rPr>
        <w:t>Section(s) des Travaux : &lt;L’indication de sections différentes et l'utilisation de tableaux distincts peut être nécessaire si des sections des Travaux (ou du Détail quantitatif et estimatif) ont un contenu en monnaies étrangères et nationale notablement différent.&gt;</w:t>
      </w:r>
    </w:p>
    <w:p>
      <w:pPr>
        <w:spacing w:after="120"/>
        <w:jc w:val="both"/>
      </w:pPr>
      <w:r>
        <w:rPr>
          <w:b w:val="off"/>
          <w:sz w:val="22"/>
        </w:rPr>
        <w:t>Tableau des paramètres de pondération</w:t>
      </w:r>
    </w:p>
    <w:tbl>
      <w:tblPr>
        <w:tblW w:w="5000" w:type="pct"/>
        <w:tblBorders>
          <w:top w:val="single"/>
          <w:left w:val="single"/>
          <w:bottom w:val="single"/>
          <w:right w:val="single"/>
          <w:insideH w:val="single"/>
          <w:insideV w:val="single"/>
        </w:tblBorders>
      </w:tblPr>
      <w:tr>
        <w:tc>
          <w:tcPr>
            <w:tcW w:type="pct" w:w="1250"/>
          </w:tcPr>
          <w:p>
            <w:r>
              <w:rPr>
                <w:sz w:val="20"/>
              </w:rPr>
              <w:t>Facteur et description</w:t>
            </w:r>
          </w:p>
        </w:tc>
        <w:tc>
          <w:tcPr>
            <w:tcW w:type="pct" w:w="1250"/>
          </w:tcPr>
          <w:p>
            <w:r>
              <w:rPr>
                <w:sz w:val="20"/>
              </w:rPr>
              <w:t>Valeur des fourchettes autorisées pour les paramètres</w:t>
            </w:r>
          </w:p>
        </w:tc>
        <w:tc>
          <w:tcPr>
            <w:tcW w:type="pct" w:w="1250"/>
          </w:tcPr>
          <w:p>
            <w:r>
              <w:rPr>
                <w:sz w:val="20"/>
              </w:rPr>
              <w:t>Valeur des paramètres de pondération par type de monnaie</w:t>
            </w:r>
          </w:p>
          <w:p>
            <w:r>
              <w:rPr>
                <w:sz w:val="20"/>
              </w:rPr>
              <w:t>(3)</w:t>
            </w:r>
          </w:p>
        </w:tc>
        <w:tc>
          <w:tcPr>
            <w:tcW w:type="pct" w:w="1250"/>
          </w:tcPr>
          <w:p>
            <w:r>
              <w:rPr>
                <w:sz w:val="20"/>
              </w:rPr>
              <w:t>Totaux</w:t>
            </w:r>
          </w:p>
          <w:p>
            <w:r>
              <w:rPr>
                <w:sz w:val="20"/>
              </w:rPr>
              <w:t>(4)</w:t>
            </w:r>
          </w:p>
        </w:tc>
      </w:tr>
    </w:tbl>
    <w:p/>
    <w:tbl>
      <w:tblPr>
        <w:tblW w:w="5000" w:type="pct"/>
        <w:tblBorders>
          <w:top w:val="single"/>
          <w:left w:val="single"/>
          <w:bottom w:val="single"/>
          <w:right w:val="single"/>
          <w:insideH w:val="single"/>
          <w:insideV w:val="single"/>
        </w:tblBorders>
      </w:tblPr>
      <w:tr>
        <w:tc>
          <w:tcPr>
            <w:tcW w:type="pct" w:w="833"/>
          </w:tcPr>
          <w:p>
            <w:r>
              <w:rPr>
                <w:sz w:val="20"/>
              </w:rPr>
              <w:t>(1)</w:t>
            </w:r>
          </w:p>
        </w:tc>
        <w:tc>
          <w:tcPr>
            <w:tcW w:type="pct" w:w="833"/>
          </w:tcPr>
          <w:p>
            <w:r>
              <w:rPr>
                <w:sz w:val="20"/>
              </w:rPr>
              <w:t>(2)</w:t>
            </w:r>
          </w:p>
        </w:tc>
        <w:tc>
          <w:tcPr>
            <w:tcW w:type="pct" w:w="833"/>
          </w:tcPr>
          <w:p>
            <w:r>
              <w:rPr>
                <w:sz w:val="20"/>
              </w:rPr>
              <w:t>(Ariary)</w:t>
            </w:r>
          </w:p>
        </w:tc>
        <w:tc>
          <w:tcPr>
            <w:tcW w:type="pct" w:w="833"/>
          </w:tcPr>
          <w:p>
            <w:r>
              <w:rPr>
                <w:sz w:val="20"/>
              </w:rPr>
              <w:t>(monnaie étrangère)</w:t>
            </w:r>
          </w:p>
        </w:tc>
        <w:tc>
          <w:tcPr>
            <w:tcW w:type="pct" w:w="833"/>
          </w:tcPr>
          <w:p>
            <w:r>
              <w:rPr>
                <w:sz w:val="20"/>
              </w:rPr>
              <w:t/>
            </w:r>
          </w:p>
        </w:tc>
        <w:tc>
          <w:tcPr>
            <w:tcW w:type="pct" w:w="833"/>
          </w:tcPr>
          <w:p>
            <w:r>
              <w:rPr>
                <w:sz w:val="20"/>
              </w:rPr>
              <w:t/>
            </w:r>
          </w:p>
        </w:tc>
      </w:tr>
      <w:tr>
        <w:tc>
          <w:tcPr>
            <w:tcW w:type="pct" w:w="833"/>
          </w:tcPr>
          <w:p>
            <w:r>
              <w:rPr>
                <w:sz w:val="20"/>
              </w:rPr>
              <w:t>X Fixe</w:t>
            </w:r>
          </w:p>
        </w:tc>
        <w:tc>
          <w:tcPr>
            <w:tcW w:type="pct" w:w="833"/>
          </w:tcPr>
          <w:p>
            <w:r>
              <w:rPr>
                <w:sz w:val="20"/>
              </w:rPr>
              <w:t/>
            </w:r>
          </w:p>
        </w:tc>
        <w:tc>
          <w:tcPr>
            <w:tcW w:type="pct" w:w="833"/>
          </w:tcPr>
          <w:p>
            <w:r>
              <w:rPr>
                <w:sz w:val="20"/>
              </w:rPr>
              <w:t/>
            </w:r>
          </w:p>
        </w:tc>
        <w:tc>
          <w:tcPr>
            <w:tcW w:type="pct" w:w="833"/>
          </w:tcPr>
          <w:p>
            <w:r>
              <w:rPr>
                <w:sz w:val="20"/>
              </w:rPr>
              <w:t/>
            </w:r>
          </w:p>
        </w:tc>
        <w:tc>
          <w:tcPr>
            <w:tcW w:type="pct" w:w="833"/>
          </w:tcPr>
          <w:p>
            <w:r>
              <w:rPr>
                <w:sz w:val="20"/>
              </w:rPr>
              <w:t/>
            </w:r>
          </w:p>
        </w:tc>
        <w:tc>
          <w:tcPr>
            <w:tcW w:type="pct" w:w="833"/>
          </w:tcPr>
          <w:p>
            <w:r>
              <w:rPr>
                <w:sz w:val="20"/>
              </w:rPr>
              <w:t/>
            </w:r>
          </w:p>
        </w:tc>
      </w:tr>
      <w:tr>
        <w:tc>
          <w:tcPr>
            <w:tcW w:type="pct" w:w="833"/>
          </w:tcPr>
          <w:p>
            <w:r>
              <w:rPr>
                <w:sz w:val="20"/>
              </w:rPr>
              <w:t>(a) Main-d’oeuvre</w:t>
            </w:r>
          </w:p>
        </w:tc>
        <w:tc>
          <w:tcPr>
            <w:tcW w:type="pct" w:w="833"/>
          </w:tcPr>
          <w:p>
            <w:r>
              <w:rPr>
                <w:sz w:val="20"/>
              </w:rPr>
              <w:t/>
            </w:r>
          </w:p>
        </w:tc>
        <w:tc>
          <w:tcPr>
            <w:tcW w:type="pct" w:w="833"/>
          </w:tcPr>
          <w:p>
            <w:r>
              <w:rPr>
                <w:sz w:val="20"/>
              </w:rPr>
              <w:t/>
            </w:r>
          </w:p>
        </w:tc>
        <w:tc>
          <w:tcPr>
            <w:tcW w:type="pct" w:w="833"/>
          </w:tcPr>
          <w:p>
            <w:r>
              <w:rPr>
                <w:sz w:val="20"/>
              </w:rPr>
              <w:t/>
            </w:r>
          </w:p>
        </w:tc>
        <w:tc>
          <w:tcPr>
            <w:tcW w:type="pct" w:w="833"/>
          </w:tcPr>
          <w:p>
            <w:r>
              <w:rPr>
                <w:sz w:val="20"/>
              </w:rPr>
              <w:t/>
            </w:r>
          </w:p>
        </w:tc>
        <w:tc>
          <w:tcPr>
            <w:tcW w:type="pct" w:w="833"/>
          </w:tcPr>
          <w:p>
            <w:r>
              <w:rPr>
                <w:sz w:val="20"/>
              </w:rPr>
              <w:t/>
            </w:r>
          </w:p>
        </w:tc>
      </w:tr>
      <w:tr>
        <w:tc>
          <w:tcPr>
            <w:tcW w:type="pct" w:w="833"/>
          </w:tcPr>
          <w:p>
            <w:r>
              <w:rPr>
                <w:sz w:val="20"/>
              </w:rPr>
              <w:t>(b)</w:t>
            </w:r>
          </w:p>
        </w:tc>
        <w:tc>
          <w:tcPr>
            <w:tcW w:type="pct" w:w="833"/>
          </w:tcPr>
          <w:p>
            <w:r>
              <w:rPr>
                <w:sz w:val="20"/>
              </w:rPr>
              <w:t/>
            </w:r>
          </w:p>
        </w:tc>
        <w:tc>
          <w:tcPr>
            <w:tcW w:type="pct" w:w="833"/>
          </w:tcPr>
          <w:p>
            <w:r>
              <w:rPr>
                <w:sz w:val="20"/>
              </w:rPr>
              <w:t/>
            </w:r>
          </w:p>
        </w:tc>
        <w:tc>
          <w:tcPr>
            <w:tcW w:type="pct" w:w="833"/>
          </w:tcPr>
          <w:p>
            <w:r>
              <w:rPr>
                <w:sz w:val="20"/>
              </w:rPr>
              <w:t/>
            </w:r>
          </w:p>
        </w:tc>
        <w:tc>
          <w:tcPr>
            <w:tcW w:type="pct" w:w="833"/>
          </w:tcPr>
          <w:p>
            <w:r>
              <w:rPr>
                <w:sz w:val="20"/>
              </w:rPr>
              <w:t/>
            </w:r>
          </w:p>
        </w:tc>
        <w:tc>
          <w:tcPr>
            <w:tcW w:type="pct" w:w="833"/>
          </w:tcPr>
          <w:p>
            <w:r>
              <w:rPr>
                <w:sz w:val="20"/>
              </w:rPr>
              <w:t/>
            </w:r>
          </w:p>
        </w:tc>
      </w:tr>
      <w:tr>
        <w:tc>
          <w:tcPr>
            <w:tcW w:type="pct" w:w="833"/>
          </w:tcPr>
          <w:p>
            <w:r>
              <w:rPr>
                <w:sz w:val="20"/>
              </w:rPr>
              <w:t>(c)</w:t>
            </w:r>
          </w:p>
        </w:tc>
        <w:tc>
          <w:tcPr>
            <w:tcW w:type="pct" w:w="833"/>
          </w:tcPr>
          <w:p>
            <w:r>
              <w:rPr>
                <w:sz w:val="20"/>
              </w:rPr>
              <w:t/>
            </w:r>
          </w:p>
        </w:tc>
        <w:tc>
          <w:tcPr>
            <w:tcW w:type="pct" w:w="833"/>
          </w:tcPr>
          <w:p>
            <w:r>
              <w:rPr>
                <w:sz w:val="20"/>
              </w:rPr>
              <w:t/>
            </w:r>
          </w:p>
        </w:tc>
        <w:tc>
          <w:tcPr>
            <w:tcW w:type="pct" w:w="833"/>
          </w:tcPr>
          <w:p>
            <w:r>
              <w:rPr>
                <w:sz w:val="20"/>
              </w:rPr>
              <w:t/>
            </w:r>
          </w:p>
        </w:tc>
        <w:tc>
          <w:tcPr>
            <w:tcW w:type="pct" w:w="833"/>
          </w:tcPr>
          <w:p>
            <w:r>
              <w:rPr>
                <w:sz w:val="20"/>
              </w:rPr>
              <w:t/>
            </w:r>
          </w:p>
        </w:tc>
        <w:tc>
          <w:tcPr>
            <w:tcW w:type="pct" w:w="833"/>
          </w:tcPr>
          <w:p>
            <w:r>
              <w:rPr>
                <w:sz w:val="20"/>
              </w:rPr>
              <w:t/>
            </w:r>
          </w:p>
        </w:tc>
      </w:tr>
      <w:tr>
        <w:tc>
          <w:tcPr>
            <w:tcW w:type="pct" w:w="833"/>
          </w:tcPr>
          <w:p>
            <w:r>
              <w:rPr>
                <w:sz w:val="20"/>
              </w:rPr>
              <w:t>etc.</w:t>
            </w:r>
          </w:p>
        </w:tc>
        <w:tc>
          <w:tcPr>
            <w:tcW w:type="pct" w:w="833"/>
          </w:tcPr>
          <w:p>
            <w:r>
              <w:rPr>
                <w:sz w:val="20"/>
              </w:rPr>
              <w:t/>
            </w:r>
          </w:p>
        </w:tc>
        <w:tc>
          <w:tcPr>
            <w:tcW w:type="pct" w:w="833"/>
          </w:tcPr>
          <w:p>
            <w:r>
              <w:rPr>
                <w:sz w:val="20"/>
              </w:rPr>
              <w:t/>
            </w:r>
          </w:p>
        </w:tc>
        <w:tc>
          <w:tcPr>
            <w:tcW w:type="pct" w:w="833"/>
          </w:tcPr>
          <w:p>
            <w:r>
              <w:rPr>
                <w:sz w:val="20"/>
              </w:rPr>
              <w:t/>
            </w:r>
          </w:p>
        </w:tc>
        <w:tc>
          <w:tcPr>
            <w:tcW w:type="pct" w:w="833"/>
          </w:tcPr>
          <w:p>
            <w:r>
              <w:rPr>
                <w:sz w:val="20"/>
              </w:rPr>
              <w:t/>
            </w:r>
          </w:p>
        </w:tc>
        <w:tc>
          <w:tcPr>
            <w:tcW w:type="pct" w:w="833"/>
          </w:tcPr>
          <w:p>
            <w:r>
              <w:rPr>
                <w:sz w:val="20"/>
              </w:rPr>
              <w:t/>
            </w:r>
          </w:p>
        </w:tc>
      </w:tr>
      <w:tr>
        <w:tc>
          <w:tcPr>
            <w:tcW w:type="pct" w:w="833"/>
          </w:tcPr>
          <w:p>
            <w:r>
              <w:rPr>
                <w:sz w:val="20"/>
              </w:rPr>
              <w:t>Total</w:t>
            </w:r>
          </w:p>
        </w:tc>
        <w:tc>
          <w:tcPr>
            <w:tcW w:type="pct" w:w="833"/>
          </w:tcPr>
          <w:p>
            <w:r>
              <w:rPr>
                <w:sz w:val="20"/>
              </w:rPr>
              <w:t/>
            </w:r>
          </w:p>
        </w:tc>
        <w:tc>
          <w:tcPr>
            <w:tcW w:type="pct" w:w="833"/>
          </w:tcPr>
          <w:p>
            <w:r>
              <w:rPr>
                <w:sz w:val="20"/>
              </w:rPr>
              <w:t/>
            </w:r>
          </w:p>
        </w:tc>
        <w:tc>
          <w:tcPr>
            <w:tcW w:type="pct" w:w="833"/>
          </w:tcPr>
          <w:p>
            <w:r>
              <w:rPr>
                <w:sz w:val="20"/>
              </w:rPr>
              <w:t/>
            </w:r>
          </w:p>
        </w:tc>
        <w:tc>
          <w:tcPr>
            <w:tcW w:type="pct" w:w="833"/>
          </w:tcPr>
          <w:p>
            <w:r>
              <w:rPr>
                <w:sz w:val="20"/>
              </w:rPr>
              <w:t/>
            </w:r>
          </w:p>
        </w:tc>
        <w:tc>
          <w:tcPr>
            <w:tcW w:type="pct" w:w="833"/>
          </w:tcPr>
          <w:p>
            <w:r>
              <w:rPr>
                <w:sz w:val="20"/>
              </w:rPr>
              <w:t>1</w:t>
            </w:r>
          </w:p>
        </w:tc>
      </w:tr>
    </w:tbl>
    <w:p/>
    <w:p>
      <w:pPr>
        <w:spacing w:after="120"/>
        <w:jc w:val="both"/>
      </w:pPr>
      <w:r>
        <w:rPr>
          <w:b w:val="off"/>
          <w:sz w:val="22"/>
        </w:rPr>
        <w:t>&lt;Le Maître de l’Ouvrage indiquera:</w:t>
      </w:r>
    </w:p>
    <w:p>
      <w:pPr>
        <w:spacing w:after="120"/>
        <w:jc w:val="both"/>
      </w:pPr>
      <w:r>
        <w:rPr>
          <w:b w:val="off"/>
          <w:sz w:val="22"/>
        </w:rPr>
        <w:t>dans la colonne (1) les paramètres de pondération des facteurs sujets à révision;</w:t>
      </w:r>
    </w:p>
    <w:p>
      <w:pPr>
        <w:spacing w:after="120"/>
        <w:jc w:val="both"/>
      </w:pPr>
      <w:r>
        <w:rPr>
          <w:b w:val="off"/>
          <w:sz w:val="22"/>
        </w:rPr>
        <w:t>dans la colonne (2) à la première ligne un seul chiffre correspondant à la partie fixe X de la formule de révision qui doit être au moins égale à 0,15 et, sur les lignes suivantes, des chiffres reflétant la fourchette acceptable pour chacun des paramètres (a), (b), (c), etc. des facteurs révisables de la formule.&gt;</w:t>
      </w:r>
    </w:p>
    <w:p>
      <w:pPr>
        <w:spacing w:after="120"/>
        <w:jc w:val="both"/>
      </w:pPr>
      <w:r>
        <w:rPr>
          <w:b w:val="off"/>
          <w:sz w:val="22"/>
        </w:rPr>
        <w:t>Le Candidat indiquera dans les colonnes (3) les valeurs des paramètres de chaque facteur au titre de la monnaie ou des monnaies de son offre, et dans la colonne (4) les sous-totaux correspondants pour chaque facteur et qui doivent s’inscrire dans la fourchette spécifiée par le Maître de l’Ouvrage dans la colonne (2); le total des sous-totaux inscrits dans la colonne (4) doit être égal à 1. Le tableau compété sera joint à l'Acte d'Engagement.</w:t>
      </w:r>
    </w:p>
    <w:p>
      <w:pPr>
        <w:spacing w:after="120"/>
        <w:jc w:val="both"/>
      </w:pPr>
      <w:r>
        <w:rPr>
          <w:b w:val="off"/>
          <w:sz w:val="22"/>
        </w:rPr>
        <w:t>Une formule sera appliquée pour chaque monnaie de paiement et sera déduite du tableau ci-dessus comme suit : les paramètres à inclure dans chacune des formules seront déduits des valeurs relatives à chaque monnaie, chacune d’elle étant d’abord toutefois divisée par le total des valeurs correspondantes à la monnaie considérée, comme indiqué dans la colonne correspondante.</w:t>
      </w:r>
    </w:p>
    <w:p>
      <w:pPr>
        <w:spacing w:after="120"/>
        <w:jc w:val="both"/>
      </w:pPr>
      <w:r>
        <w:rPr>
          <w:b w:val="off"/>
          <w:sz w:val="22"/>
        </w:rPr>
        <w:t>Origine des indices</w:t>
      </w:r>
    </w:p>
    <w:p>
      <w:pPr>
        <w:spacing w:after="120"/>
        <w:jc w:val="both"/>
      </w:pPr>
      <w:r>
        <w:rPr>
          <w:b w:val="off"/>
          <w:sz w:val="22"/>
        </w:rPr>
        <w:t>Prix en Ariary</w:t>
      </w:r>
    </w:p>
    <w:p>
      <w:pPr>
        <w:spacing w:after="120"/>
        <w:jc w:val="both"/>
      </w:pPr>
      <w:r>
        <w:rPr>
          <w:b w:val="off"/>
          <w:sz w:val="22"/>
        </w:rPr>
        <w:t>&lt;Le Maître de l’Ouvrage complétera le tableau qui suit au moment de la préparation du Dossier d’Appel d’offres.&gt;</w:t>
      </w:r>
    </w:p>
    <w:tbl>
      <w:tblPr>
        <w:tblW w:w="5000" w:type="pct"/>
        <w:tblBorders>
          <w:top w:val="single"/>
          <w:left w:val="single"/>
          <w:bottom w:val="single"/>
          <w:right w:val="single"/>
          <w:insideH w:val="single"/>
          <w:insideV w:val="single"/>
        </w:tblBorders>
      </w:tblPr>
      <w:tr>
        <w:tc>
          <w:tcPr>
            <w:tcW w:type="pct" w:w="1250"/>
          </w:tcPr>
          <w:p>
            <w:r>
              <w:rPr>
                <w:sz w:val="20"/>
              </w:rPr>
              <w:t>Code de l’indice</w:t>
            </w:r>
          </w:p>
        </w:tc>
        <w:tc>
          <w:tcPr>
            <w:tcW w:type="pct" w:w="1250"/>
          </w:tcPr>
          <w:p>
            <w:r>
              <w:rPr>
                <w:sz w:val="20"/>
              </w:rPr>
              <w:t>Description/</w:t>
            </w:r>
          </w:p>
          <w:p>
            <w:r>
              <w:rPr>
                <w:sz w:val="20"/>
              </w:rPr>
              <w:t>identification</w:t>
            </w:r>
          </w:p>
        </w:tc>
        <w:tc>
          <w:tcPr>
            <w:tcW w:type="pct" w:w="1250"/>
          </w:tcPr>
          <w:p>
            <w:r>
              <w:rPr>
                <w:sz w:val="20"/>
              </w:rPr>
              <w:t>Publication d’origine de l’indice</w:t>
            </w:r>
          </w:p>
        </w:tc>
        <w:tc>
          <w:tcPr>
            <w:tcW w:type="pct" w:w="1250"/>
          </w:tcPr>
          <w:p>
            <w:r>
              <w:rPr>
                <w:sz w:val="20"/>
              </w:rPr>
              <w:t>Valeur de base au mois de</w:t>
            </w:r>
          </w:p>
          <w:p>
            <w:r>
              <w:rPr>
                <w:sz w:val="20"/>
              </w:rPr>
              <w:t>&lt;mois&gt;([note:2])</w:t>
            </w:r>
          </w:p>
        </w:tc>
      </w:tr>
    </w:tbl>
    <w:p/>
    <w:p>
      <w:pPr>
        <w:spacing w:after="120"/>
        <w:jc w:val="both"/>
      </w:pPr>
      <w:r>
        <w:rPr>
          <w:b w:val="off"/>
          <w:sz w:val="22"/>
        </w:rPr>
        <w:t>[note 2] Inscrire le mois applicable, c’est-à-dire le mois de la date d'établissement des prix, soit le quinzième jour précédant la date fixée pour le dépôt des offres.</w:t>
      </w:r>
    </w:p>
    <w:tbl>
      <w:tblPr>
        <w:tblW w:w="5000" w:type="pct"/>
        <w:tblBorders>
          <w:top w:val="single"/>
          <w:left w:val="single"/>
          <w:bottom w:val="single"/>
          <w:right w:val="single"/>
          <w:insideH w:val="single"/>
          <w:insideV w:val="single"/>
        </w:tblBorders>
      </w:tblPr>
      <w:tr>
        <w:tc>
          <w:tcPr>
            <w:tcW w:type="pct" w:w="1250"/>
          </w:tcPr>
          <w:p>
            <w:r>
              <w:rPr>
                <w:sz w:val="20"/>
              </w:rPr>
              <w:t>(T)</w:t>
            </w:r>
          </w:p>
        </w:tc>
        <w:tc>
          <w:tcPr>
            <w:tcW w:type="pct" w:w="1250"/>
          </w:tcPr>
          <w:p>
            <w:r>
              <w:rPr>
                <w:sz w:val="20"/>
              </w:rPr>
              <w:t/>
            </w:r>
          </w:p>
        </w:tc>
        <w:tc>
          <w:tcPr>
            <w:tcW w:type="pct" w:w="1250"/>
          </w:tcPr>
          <w:p>
            <w:r>
              <w:rPr>
                <w:sz w:val="20"/>
              </w:rPr>
              <w:t/>
            </w:r>
          </w:p>
        </w:tc>
        <w:tc>
          <w:tcPr>
            <w:tcW w:type="pct" w:w="1250"/>
          </w:tcPr>
          <w:p>
            <w:r>
              <w:rPr>
                <w:sz w:val="20"/>
              </w:rPr>
              <w:t/>
            </w:r>
          </w:p>
        </w:tc>
      </w:tr>
      <w:tr>
        <w:tc>
          <w:tcPr>
            <w:tcW w:type="pct" w:w="1250"/>
          </w:tcPr>
          <w:p>
            <w:r>
              <w:rPr>
                <w:sz w:val="20"/>
              </w:rPr>
              <w:t>(S)</w:t>
            </w:r>
          </w:p>
        </w:tc>
        <w:tc>
          <w:tcPr>
            <w:tcW w:type="pct" w:w="1250"/>
          </w:tcPr>
          <w:p>
            <w:r>
              <w:rPr>
                <w:sz w:val="20"/>
              </w:rPr>
              <w:t/>
            </w:r>
          </w:p>
        </w:tc>
        <w:tc>
          <w:tcPr>
            <w:tcW w:type="pct" w:w="1250"/>
          </w:tcPr>
          <w:p>
            <w:r>
              <w:rPr>
                <w:sz w:val="20"/>
              </w:rPr>
              <w:t/>
            </w:r>
          </w:p>
        </w:tc>
        <w:tc>
          <w:tcPr>
            <w:tcW w:type="pct" w:w="1250"/>
          </w:tcPr>
          <w:p>
            <w:r>
              <w:rPr>
                <w:sz w:val="20"/>
              </w:rPr>
              <w:t/>
            </w:r>
          </w:p>
        </w:tc>
      </w:tr>
      <w:tr>
        <w:tc>
          <w:tcPr>
            <w:tcW w:type="pct" w:w="1250"/>
          </w:tcPr>
          <w:p>
            <w:r>
              <w:rPr>
                <w:sz w:val="20"/>
              </w:rPr>
              <w:t>( )</w:t>
            </w:r>
          </w:p>
        </w:tc>
        <w:tc>
          <w:tcPr>
            <w:tcW w:type="pct" w:w="1250"/>
          </w:tcPr>
          <w:p>
            <w:r>
              <w:rPr>
                <w:sz w:val="20"/>
              </w:rPr>
              <w:t/>
            </w:r>
          </w:p>
        </w:tc>
        <w:tc>
          <w:tcPr>
            <w:tcW w:type="pct" w:w="1250"/>
          </w:tcPr>
          <w:p>
            <w:r>
              <w:rPr>
                <w:sz w:val="20"/>
              </w:rPr>
              <w:t/>
            </w:r>
          </w:p>
        </w:tc>
        <w:tc>
          <w:tcPr>
            <w:tcW w:type="pct" w:w="1250"/>
          </w:tcPr>
          <w:p>
            <w:r>
              <w:rPr>
                <w:sz w:val="20"/>
              </w:rPr>
              <w:t/>
            </w:r>
          </w:p>
        </w:tc>
      </w:tr>
    </w:tbl>
    <w:p/>
    <w:p>
      <w:pPr>
        <w:spacing w:after="120"/>
        <w:jc w:val="both"/>
      </w:pPr>
      <w:r>
        <w:rPr>
          <w:b w:val="off"/>
          <w:sz w:val="22"/>
        </w:rPr>
        <w:t>Monnaie(s) étrangère(s)</w:t>
      </w:r>
    </w:p>
    <w:p>
      <w:pPr>
        <w:spacing w:after="120"/>
        <w:jc w:val="both"/>
      </w:pPr>
      <w:r>
        <w:rPr>
          <w:b w:val="off"/>
          <w:sz w:val="22"/>
        </w:rPr>
        <w:t>Le Candidat complétera, le cas échéant, le tableau suivant pour chaque monnaie étrangère de paiement.</w:t>
      </w:r>
    </w:p>
    <w:tbl>
      <w:tblPr>
        <w:tblW w:w="5000" w:type="pct"/>
        <w:tblBorders>
          <w:top w:val="single"/>
          <w:left w:val="single"/>
          <w:bottom w:val="single"/>
          <w:right w:val="single"/>
          <w:insideH w:val="single"/>
          <w:insideV w:val="single"/>
        </w:tblBorders>
      </w:tblPr>
      <w:tr>
        <w:tc>
          <w:tcPr>
            <w:tcW w:type="pct" w:w="1250"/>
          </w:tcPr>
          <w:p>
            <w:r>
              <w:rPr>
                <w:sz w:val="20"/>
              </w:rPr>
              <w:t>Code de l’indice</w:t>
            </w:r>
          </w:p>
        </w:tc>
        <w:tc>
          <w:tcPr>
            <w:tcW w:type="pct" w:w="1250"/>
          </w:tcPr>
          <w:p>
            <w:r>
              <w:rPr>
                <w:sz w:val="20"/>
              </w:rPr>
              <w:t>Description/</w:t>
            </w:r>
          </w:p>
          <w:p>
            <w:r>
              <w:rPr>
                <w:sz w:val="20"/>
              </w:rPr>
              <w:t>identification</w:t>
            </w:r>
          </w:p>
        </w:tc>
        <w:tc>
          <w:tcPr>
            <w:tcW w:type="pct" w:w="1250"/>
          </w:tcPr>
          <w:p>
            <w:r>
              <w:rPr>
                <w:sz w:val="20"/>
              </w:rPr>
              <w:t>Publication d’origine de l’indice</w:t>
            </w:r>
          </w:p>
        </w:tc>
        <w:tc>
          <w:tcPr>
            <w:tcW w:type="pct" w:w="1250"/>
          </w:tcPr>
          <w:p>
            <w:r>
              <w:rPr>
                <w:sz w:val="20"/>
              </w:rPr>
              <w:t>Valeur de base au</w:t>
            </w:r>
          </w:p>
          <w:p>
            <w:r>
              <w:rPr>
                <w:sz w:val="20"/>
              </w:rPr>
              <w:t>[mois](1)</w:t>
            </w:r>
          </w:p>
        </w:tc>
      </w:tr>
      <w:tr>
        <w:tc>
          <w:tcPr>
            <w:tcW w:type="pct" w:w="1250"/>
          </w:tcPr>
          <w:p>
            <w:r>
              <w:rPr>
                <w:sz w:val="20"/>
              </w:rPr>
              <w:t>(T)</w:t>
            </w:r>
          </w:p>
        </w:tc>
        <w:tc>
          <w:tcPr>
            <w:tcW w:type="pct" w:w="1250"/>
          </w:tcPr>
          <w:p>
            <w:r>
              <w:rPr>
                <w:sz w:val="20"/>
              </w:rPr>
              <w:t/>
            </w:r>
          </w:p>
        </w:tc>
        <w:tc>
          <w:tcPr>
            <w:tcW w:type="pct" w:w="1250"/>
          </w:tcPr>
          <w:p>
            <w:r>
              <w:rPr>
                <w:sz w:val="20"/>
              </w:rPr>
              <w:t/>
            </w:r>
          </w:p>
        </w:tc>
        <w:tc>
          <w:tcPr>
            <w:tcW w:type="pct" w:w="1250"/>
          </w:tcPr>
          <w:p>
            <w:r>
              <w:rPr>
                <w:sz w:val="20"/>
              </w:rPr>
              <w:t/>
            </w:r>
          </w:p>
        </w:tc>
      </w:tr>
      <w:tr>
        <w:tc>
          <w:tcPr>
            <w:tcW w:type="pct" w:w="1250"/>
          </w:tcPr>
          <w:p>
            <w:r>
              <w:rPr>
                <w:sz w:val="20"/>
              </w:rPr>
              <w:t>(S)</w:t>
            </w:r>
          </w:p>
        </w:tc>
        <w:tc>
          <w:tcPr>
            <w:tcW w:type="pct" w:w="1250"/>
          </w:tcPr>
          <w:p>
            <w:r>
              <w:rPr>
                <w:sz w:val="20"/>
              </w:rPr>
              <w:t/>
            </w:r>
          </w:p>
        </w:tc>
        <w:tc>
          <w:tcPr>
            <w:tcW w:type="pct" w:w="1250"/>
          </w:tcPr>
          <w:p>
            <w:r>
              <w:rPr>
                <w:sz w:val="20"/>
              </w:rPr>
              <w:t/>
            </w:r>
          </w:p>
        </w:tc>
        <w:tc>
          <w:tcPr>
            <w:tcW w:type="pct" w:w="1250"/>
          </w:tcPr>
          <w:p>
            <w:r>
              <w:rPr>
                <w:sz w:val="20"/>
              </w:rPr>
              <w:t/>
            </w:r>
          </w:p>
        </w:tc>
      </w:tr>
      <w:tr>
        <w:tc>
          <w:tcPr>
            <w:tcW w:type="pct" w:w="1250"/>
          </w:tcPr>
          <w:p>
            <w:r>
              <w:rPr>
                <w:sz w:val="20"/>
              </w:rPr>
              <w:t>( )</w:t>
            </w:r>
          </w:p>
        </w:tc>
        <w:tc>
          <w:tcPr>
            <w:tcW w:type="pct" w:w="1250"/>
          </w:tcPr>
          <w:p>
            <w:r>
              <w:rPr>
                <w:sz w:val="20"/>
              </w:rPr>
              <w:t/>
            </w:r>
          </w:p>
        </w:tc>
        <w:tc>
          <w:tcPr>
            <w:tcW w:type="pct" w:w="1250"/>
          </w:tcPr>
          <w:p>
            <w:r>
              <w:rPr>
                <w:sz w:val="20"/>
              </w:rPr>
              <w:t/>
            </w:r>
          </w:p>
        </w:tc>
        <w:tc>
          <w:tcPr>
            <w:tcW w:type="pct" w:w="1250"/>
          </w:tcPr>
          <w:p>
            <w:r>
              <w:rPr>
                <w:sz w:val="20"/>
              </w:rPr>
              <w:t/>
            </w:r>
          </w:p>
        </w:tc>
      </w:tr>
    </w:tbl>
    <w:p/>
    <w:p>
      <w:pPr>
        <w:spacing w:after="120"/>
        <w:jc w:val="both"/>
      </w:pPr>
      <w:r>
        <w:rPr>
          <w:b w:val="off"/>
          <w:sz w:val="22"/>
        </w:rPr>
        <w:t>{{FINSI:REVISABLE}}</w:t>
      </w:r>
    </w:p>
    <w:p>
      <w:pPr>
        <w:spacing w:after="120"/>
        <w:jc w:val="both"/>
      </w:pPr>
      <w:r>
        <w:rPr>
          <w:b w:val="off"/>
          <w:sz w:val="22"/>
        </w:rPr>
        <w:t>{{SI:ANNEXE-GBE-BANCAIRE}}</w:t>
      </w:r>
    </w:p>
    <w:p>
      <w:pPr>
        <w:spacing w:after="160"/>
        <w:jc w:val="left"/>
      </w:pPr>
      <w:r>
        <w:rPr>
          <w:b w:val="on"/>
          <w:sz w:val="22"/>
        </w:rPr>
        <w:t>Annexe au CCAP</w:t>
      </w:r>
    </w:p>
    <w:p>
      <w:pPr>
        <w:spacing w:after="120"/>
        <w:jc w:val="both"/>
      </w:pPr>
      <w:r>
        <w:rPr>
          <w:b w:val="off"/>
          <w:sz w:val="22"/>
        </w:rPr>
        <w:t>Modèle de garantie bancaire de bonne exécution</w:t>
      </w:r>
    </w:p>
    <w:p>
      <w:pPr>
        <w:spacing w:after="120"/>
        <w:jc w:val="both"/>
      </w:pPr>
      <w:r>
        <w:rPr>
          <w:b w:val="off"/>
          <w:sz w:val="22"/>
        </w:rPr>
        <w:t>ATTENDU QUE &lt;nom du Titulaire&gt;</w:t>
      </w:r>
    </w:p>
    <w:p>
      <w:pPr>
        <w:spacing w:after="120"/>
        <w:jc w:val="both"/>
      </w:pPr>
      <w:r>
        <w:rPr>
          <w:b w:val="off"/>
          <w:sz w:val="22"/>
        </w:rPr>
        <w:t>ayant son siège &lt;adresse complète du Titulaire&gt;</w:t>
      </w:r>
    </w:p>
    <w:p>
      <w:pPr>
        <w:spacing w:after="120"/>
        <w:jc w:val="both"/>
      </w:pPr>
      <w:r>
        <w:rPr>
          <w:b w:val="off"/>
          <w:sz w:val="22"/>
        </w:rPr>
        <w:t>(ci-après dénommé « le Titulaire ») a conclu un marché n° &lt;intitulé ou objet résumé du marché&gt; (ci-après dénommé « le Marché ») avec &lt;dénomination de l’Autorité Contractante&gt; ( ci-après dénommée « le Bénéficiaire »).</w:t>
      </w:r>
    </w:p>
    <w:p>
      <w:pPr>
        <w:spacing w:after="120"/>
        <w:jc w:val="both"/>
      </w:pPr>
      <w:r>
        <w:rPr>
          <w:b w:val="off"/>
          <w:sz w:val="22"/>
        </w:rPr>
        <w:t>ATTENDU QUE En vertu des dispositions du Marché, le Titulaire doit remettre au Bénéficiaire une garantie bancaire de bonne exécution.</w:t>
      </w:r>
    </w:p>
    <w:p>
      <w:pPr>
        <w:spacing w:after="120"/>
        <w:jc w:val="both"/>
      </w:pPr>
      <w:r>
        <w:rPr>
          <w:b w:val="off"/>
          <w:sz w:val="22"/>
        </w:rPr>
        <w:t>ATTENDU QUE nous avons convenu de fournir au Titulaire cette garantie bancaire;</w:t>
      </w:r>
    </w:p>
    <w:p>
      <w:pPr>
        <w:spacing w:after="120"/>
        <w:jc w:val="both"/>
      </w:pPr>
      <w:r>
        <w:rPr>
          <w:b w:val="off"/>
          <w:sz w:val="22"/>
        </w:rPr>
        <w:t>EN CONSEQUENCE, Nous &lt;nom de la Banque&gt;, ayant notre siège social à &lt;adresse du siège social&gt; (ci-après dénommée « le Garant »),</w:t>
      </w:r>
    </w:p>
    <w:p>
      <w:pPr>
        <w:spacing w:after="120"/>
        <w:jc w:val="both"/>
      </w:pPr>
      <w:r>
        <w:rPr>
          <w:b w:val="off"/>
          <w:sz w:val="22"/>
        </w:rPr>
        <w:t>Nous engageons par la présente, sans réserve et irrévocablement, à payer au Bénéficiaire, à la première demande écrite du Bénéficiaire adressée par courrier avec accusé de réception, reçue au plus tard à la date d’expiration mentionnée ci-après, toutes sommes d’argent dans la limite de &lt;insérer le montant en chiffres et en lettres de la garantie&gt;.</w:t>
      </w:r>
    </w:p>
    <w:p>
      <w:pPr>
        <w:spacing w:after="120"/>
        <w:jc w:val="both"/>
      </w:pPr>
      <w:r>
        <w:rPr>
          <w:b w:val="off"/>
          <w:sz w:val="22"/>
        </w:rPr>
        <w:t>&lt;Le Garant doit insérer un montant représentant le montant de la garantie prévue par le Marché le cas échéant dans la devise de règlement mentionnée au marché&gt;</w:t>
      </w:r>
    </w:p>
    <w:p>
      <w:pPr>
        <w:spacing w:after="120"/>
        <w:jc w:val="both"/>
      </w:pPr>
      <w:r>
        <w:rPr>
          <w:b w:val="off"/>
          <w:sz w:val="22"/>
        </w:rPr>
        <w:t>Toute demande en paiement du Bénéficiaire doit être accompagnée d’une déclaration attestant que le Titulaire ne se conforme pas aux conditions du Marché, sans que le Bénéficiaire ait à prouver ou à donner les raisons ou le motif de la demande du Bénéficiaire ou du montant indiqué dans la demande du Bénéficiaire.</w:t>
      </w:r>
    </w:p>
    <w:p>
      <w:pPr>
        <w:spacing w:after="120"/>
        <w:jc w:val="both"/>
      </w:pPr>
      <w:r>
        <w:rPr>
          <w:b w:val="off"/>
          <w:sz w:val="22"/>
        </w:rPr>
        <w:t>Nous convenons également qu’aucun changement ou additif ou aucune autre modification du Marché ou Travaux devant être effectués au titre de l’un des documents du Marché qui a été établi entre vous et le Titulaire ne nous libérera d’une obligation nous incombant au titre de la présente garantie, et nous ne sommes pas tenus par la présente à donner notification dudit changement, additif ou modification.</w:t>
      </w:r>
    </w:p>
    <w:p>
      <w:pPr>
        <w:spacing w:after="120"/>
        <w:jc w:val="both"/>
      </w:pPr>
      <w:r>
        <w:rPr>
          <w:b w:val="off"/>
          <w:sz w:val="22"/>
        </w:rPr>
        <w:t>La présente garantie sera réduite de moitié sur présentation du certificat de réception provisoire et demeurera valable jusqu’au trentième (30éme) jour suivant la date de délivrance du certificat de réception définitive.</w:t>
      </w:r>
    </w:p>
    <w:p>
      <w:pPr>
        <w:spacing w:after="120"/>
        <w:jc w:val="both"/>
      </w:pPr>
      <w:r>
        <w:rPr>
          <w:b w:val="off"/>
          <w:sz w:val="22"/>
        </w:rPr>
        <w:t>La présente garantie est régie par la loi malgache. Tout différend relatif à son interprétation ou à son exécution sera soumis aux tribunaux compétents de la République de Madagascar.</w:t>
      </w:r>
    </w:p>
    <w:p>
      <w:pPr>
        <w:spacing w:after="120"/>
        <w:jc w:val="both"/>
      </w:pPr>
      <w:r>
        <w:rPr>
          <w:b w:val="off"/>
          <w:sz w:val="22"/>
        </w:rPr>
        <w:t>SIGNATURE et authentification du signataire __________________________________________</w:t>
      </w:r>
    </w:p>
    <w:p>
      <w:pPr>
        <w:spacing w:after="120"/>
        <w:jc w:val="both"/>
      </w:pPr>
      <w:r>
        <w:rPr>
          <w:b w:val="off"/>
          <w:sz w:val="22"/>
        </w:rPr>
        <w:t>Nom de la Banque _________________________________________________________________</w:t>
      </w:r>
    </w:p>
    <w:p>
      <w:pPr>
        <w:spacing w:after="120"/>
        <w:jc w:val="both"/>
      </w:pPr>
      <w:r>
        <w:rPr>
          <w:b w:val="off"/>
          <w:sz w:val="22"/>
        </w:rPr>
        <w:t>Adresse _________________________________________________________________________</w:t>
      </w:r>
    </w:p>
    <w:p>
      <w:pPr>
        <w:spacing w:after="120"/>
        <w:jc w:val="both"/>
      </w:pPr>
      <w:r>
        <w:rPr>
          <w:b w:val="off"/>
          <w:sz w:val="22"/>
        </w:rPr>
        <w:t>Date _____________________________________________________________________________</w:t>
      </w:r>
    </w:p>
    <w:p>
      <w:pPr>
        <w:spacing w:after="120"/>
        <w:jc w:val="both"/>
      </w:pPr>
      <w:r>
        <w:rPr>
          <w:b w:val="off"/>
          <w:sz w:val="22"/>
        </w:rPr>
        <w:t>Cachet</w:t>
      </w:r>
    </w:p>
    <w:p>
      <w:pPr>
        <w:spacing w:after="120"/>
        <w:jc w:val="both"/>
      </w:pPr>
      <w:r>
        <w:rPr>
          <w:b w:val="off"/>
          <w:sz w:val="22"/>
        </w:rPr>
        <w:t>{{FINSI:ANNEXE-GBE-BANCAIRE}}</w:t>
      </w:r>
    </w:p>
    <w:p>
      <w:pPr>
        <w:spacing w:after="120"/>
        <w:jc w:val="both"/>
      </w:pPr>
      <w:r>
        <w:rPr>
          <w:b w:val="off"/>
          <w:sz w:val="22"/>
        </w:rPr>
        <w:t>{{SI:ANNEXE-GBE-CAUTION}}</w:t>
      </w:r>
    </w:p>
    <w:p>
      <w:pPr>
        <w:spacing w:after="160"/>
        <w:jc w:val="left"/>
      </w:pPr>
      <w:r>
        <w:rPr>
          <w:b w:val="on"/>
          <w:sz w:val="22"/>
        </w:rPr>
        <w:t>Annexe au CCAP</w:t>
      </w:r>
    </w:p>
    <w:p>
      <w:pPr>
        <w:spacing w:after="120"/>
        <w:jc w:val="both"/>
      </w:pPr>
      <w:r>
        <w:rPr>
          <w:b w:val="off"/>
          <w:sz w:val="22"/>
        </w:rPr>
        <w:t>Modèle de Caution Personnelle et solidaire de bonne exécution</w:t>
      </w:r>
    </w:p>
    <w:p>
      <w:pPr>
        <w:spacing w:after="120"/>
        <w:jc w:val="both"/>
      </w:pPr>
      <w:r>
        <w:rPr>
          <w:b w:val="off"/>
          <w:sz w:val="22"/>
        </w:rPr>
        <w:t>Nous soussignés &lt; indiquer la dénomination sociale de l’organisme de caution, le siège social &gt;</w:t>
      </w:r>
    </w:p>
    <w:p>
      <w:pPr>
        <w:spacing w:after="120"/>
        <w:jc w:val="both"/>
      </w:pPr>
      <w:r>
        <w:rPr>
          <w:b w:val="off"/>
          <w:sz w:val="22"/>
        </w:rPr>
        <w:t>déclarons nous porter caution personnelle et solidaire de &lt;indiquer le nom et l’adresse complète du Titulaire du Marché&gt; (ci-après dénommé « le Titulaire ») pour le montant du cautionnement auquel le Titulaire est assujetti, en qualité de titulaire du Marché n° &lt;indiquer le numéro du Marché&gt; (ci-après dénommé « le Marché ») conclu avec &lt;dénomination de l’Autorité Contractante&gt; ( ci-après dénommée « le Bénéficiaire ») en date du &lt;indiquer la date de conclusion du Marché&gt; et portant sur l’exécution de &lt;intitulé ou objet résumé du marché&gt;,</w:t>
      </w:r>
    </w:p>
    <w:p>
      <w:pPr>
        <w:spacing w:after="120"/>
        <w:jc w:val="both"/>
      </w:pPr>
      <w:r>
        <w:rPr>
          <w:b w:val="off"/>
          <w:sz w:val="22"/>
        </w:rPr>
        <w:t>ledit cautionnement s’élève à &lt;indiquer le montant en chiffre et en lettres de la garantie de bonne exécution prévue par le Marché&gt;,</w:t>
      </w:r>
    </w:p>
    <w:p>
      <w:pPr>
        <w:spacing w:after="120"/>
        <w:jc w:val="both"/>
      </w:pPr>
      <w:r>
        <w:rPr>
          <w:b w:val="off"/>
          <w:sz w:val="22"/>
        </w:rPr>
        <w:t>nous engageons à effectuer, sur demande de paiement du Bénéficiaire adressée par courrier avec accusé de réception, reçue au plus tard à la date d’expiration mentionnée ci-après, sans pouvoir différer le paiement ou soulever de contestation pour quelque motif que ce soit, jusqu’à concurrence de la somme garantie ci-dessus, le versement des sommes dont le Titulaire serait reconnu débiteur au titre du marché du fait de la non exécution de ses obligations contractuelles.</w:t>
      </w:r>
    </w:p>
    <w:p>
      <w:pPr>
        <w:spacing w:after="120"/>
        <w:jc w:val="both"/>
      </w:pPr>
      <w:r>
        <w:rPr>
          <w:b w:val="off"/>
          <w:sz w:val="22"/>
        </w:rPr>
        <w:t>Le présent engagement sera réduit de moitié sur présentation du certificat de réception provisoire et demeurera valable jusqu’au trentième (30éme) jour suivant la date de délivrance du certificat de réception définitive.</w:t>
      </w:r>
    </w:p>
    <w:p>
      <w:pPr>
        <w:spacing w:after="120"/>
        <w:jc w:val="both"/>
      </w:pPr>
      <w:r>
        <w:rPr>
          <w:b w:val="off"/>
          <w:sz w:val="22"/>
        </w:rPr>
        <w:t>Le présent engagement est régie par la loi malgache. Tout différend relatif à son interprétation ou à son exécution sera soumis aux tribunaux compétents de la République de Madagascar.</w:t>
      </w:r>
    </w:p>
    <w:p>
      <w:pPr>
        <w:spacing w:after="120"/>
        <w:jc w:val="both"/>
      </w:pPr>
      <w:r>
        <w:rPr>
          <w:b w:val="off"/>
          <w:sz w:val="22"/>
        </w:rPr>
        <w:t>Fait à _________ le __________</w:t>
      </w:r>
    </w:p>
    <w:p>
      <w:pPr>
        <w:spacing w:after="120"/>
        <w:jc w:val="both"/>
      </w:pPr>
      <w:r>
        <w:rPr>
          <w:b w:val="off"/>
          <w:sz w:val="22"/>
        </w:rPr>
        <w:t>SIGNATURE et authentification du signataire __________________________________________</w:t>
      </w:r>
    </w:p>
    <w:p>
      <w:pPr>
        <w:spacing w:after="120"/>
        <w:jc w:val="both"/>
      </w:pPr>
      <w:r>
        <w:rPr>
          <w:b w:val="off"/>
          <w:sz w:val="22"/>
        </w:rPr>
        <w:t>Nom de l’organisme _______________________________________________________________</w:t>
      </w:r>
    </w:p>
    <w:p>
      <w:pPr>
        <w:spacing w:after="120"/>
        <w:jc w:val="both"/>
      </w:pPr>
      <w:r>
        <w:rPr>
          <w:b w:val="off"/>
          <w:sz w:val="22"/>
        </w:rPr>
        <w:t>Adresse _________________________________________________________________________</w:t>
      </w:r>
    </w:p>
    <w:p>
      <w:pPr>
        <w:spacing w:after="120"/>
        <w:jc w:val="both"/>
      </w:pPr>
      <w:r>
        <w:rPr>
          <w:b w:val="off"/>
          <w:sz w:val="22"/>
        </w:rPr>
        <w:t>Date _____________________________________________________________________________</w:t>
      </w:r>
    </w:p>
    <w:p>
      <w:pPr>
        <w:spacing w:after="120"/>
        <w:jc w:val="both"/>
      </w:pPr>
      <w:r>
        <w:rPr>
          <w:b w:val="off"/>
          <w:sz w:val="22"/>
        </w:rPr>
        <w:t>Cachet</w:t>
      </w:r>
    </w:p>
    <w:p>
      <w:pPr>
        <w:spacing w:after="120"/>
        <w:jc w:val="both"/>
      </w:pPr>
      <w:r>
        <w:rPr>
          <w:b w:val="off"/>
          <w:sz w:val="22"/>
        </w:rPr>
        <w:t>{{FINSI:ANNEXE-GBE-CAUTION}}</w:t>
      </w:r>
    </w:p>
    <w:p>
      <w:pPr>
        <w:spacing w:after="120"/>
        <w:jc w:val="both"/>
      </w:pPr>
      <w:r>
        <w:rPr>
          <w:b w:val="off"/>
          <w:sz w:val="22"/>
        </w:rPr>
        <w:t>{{SI:ANNEXE-AVANCE}}</w:t>
      </w:r>
    </w:p>
    <w:p>
      <w:pPr>
        <w:spacing w:after="160"/>
        <w:jc w:val="left"/>
      </w:pPr>
      <w:r>
        <w:rPr>
          <w:b w:val="on"/>
          <w:sz w:val="22"/>
        </w:rPr>
        <w:t>Annexe au CCAP</w:t>
      </w:r>
    </w:p>
    <w:p>
      <w:pPr>
        <w:spacing w:after="120"/>
        <w:jc w:val="both"/>
      </w:pPr>
      <w:r>
        <w:rPr>
          <w:b w:val="off"/>
          <w:sz w:val="22"/>
        </w:rPr>
        <w:t>Modèle de garantie bancaire de restitution d'avance</w:t>
      </w:r>
    </w:p>
    <w:p>
      <w:pPr>
        <w:spacing w:after="120"/>
        <w:jc w:val="both"/>
      </w:pPr>
      <w:r>
        <w:rPr>
          <w:b w:val="off"/>
          <w:sz w:val="22"/>
        </w:rPr>
        <w:t>ATTENDU QUE</w:t>
      </w:r>
    </w:p>
    <w:p>
      <w:pPr>
        <w:spacing w:after="120"/>
        <w:jc w:val="both"/>
      </w:pPr>
      <w:r>
        <w:rPr>
          <w:b w:val="off"/>
          <w:sz w:val="22"/>
        </w:rPr>
        <w:t>&lt;nom du Titulaire&gt;</w:t>
      </w:r>
    </w:p>
    <w:p>
      <w:pPr>
        <w:spacing w:after="120"/>
        <w:jc w:val="both"/>
      </w:pPr>
      <w:r>
        <w:rPr>
          <w:b w:val="off"/>
          <w:sz w:val="22"/>
        </w:rPr>
        <w:t>ayant son siège &lt;adresse complète du Titulaire&gt;</w:t>
      </w:r>
    </w:p>
    <w:p>
      <w:pPr>
        <w:spacing w:after="120"/>
        <w:jc w:val="both"/>
      </w:pPr>
      <w:r>
        <w:rPr>
          <w:b w:val="off"/>
          <w:sz w:val="22"/>
        </w:rPr>
        <w:t>(ci-après dénommé « le Titulaire ») a conclu un marché n° &lt;intitulé ou objet résumé du marché&gt; (ci-après dénommé « le Marché ») avec &lt;dénomination de l’Autorité Contractante&gt; ( ci-après dénommée « le Bénéficiaire »).</w:t>
      </w:r>
    </w:p>
    <w:p>
      <w:pPr>
        <w:spacing w:after="120"/>
        <w:jc w:val="both"/>
      </w:pPr>
      <w:r>
        <w:rPr>
          <w:b w:val="off"/>
          <w:sz w:val="22"/>
        </w:rPr>
        <w:t>En vertu des dispositions du Marché, le Titulaire doit remettre au Bénéficiaire une garantie de restitution d’avance.</w:t>
      </w:r>
    </w:p>
    <w:p>
      <w:pPr>
        <w:spacing w:after="120"/>
        <w:jc w:val="both"/>
      </w:pPr>
      <w:r>
        <w:rPr>
          <w:b w:val="off"/>
          <w:sz w:val="22"/>
        </w:rPr>
        <w:t>EN CONSEQUENCE, Nous &lt;nom de la Banque&gt;, ayant notre siège social à &lt;adresse du siège social&gt; (ci-après dénommée « le Garant »),</w:t>
      </w:r>
    </w:p>
    <w:p>
      <w:pPr>
        <w:spacing w:after="120"/>
        <w:jc w:val="both"/>
      </w:pPr>
      <w:r>
        <w:rPr>
          <w:b w:val="off"/>
          <w:sz w:val="22"/>
        </w:rPr>
        <w:t>Nous nous engageons par la présente, sans réserve et irrévocablement, à payer au Bénéficiaire, à la première demande écrite du Bénéficiaire adressée par courrier avec accusé de réception, reçue au plus tard à la date d’expiration mentionnée ci-après, toutes sommes d’argent dans la limite de &lt;insérer le montant en chiffres et en lettres de la garantie&gt; correspondant au montant de l’avance devant être réglé au Titulaire diminué du montant remboursé par le Titulaire &lt;Le Garant doit insérer un montant représentant le montant de l’avance prévue par le Marché, le cas échéant dans la devise de règlement mentionnée au marché&gt;.</w:t>
      </w:r>
    </w:p>
    <w:p>
      <w:pPr>
        <w:spacing w:after="120"/>
        <w:jc w:val="both"/>
      </w:pPr>
      <w:r>
        <w:rPr>
          <w:b w:val="off"/>
          <w:sz w:val="22"/>
        </w:rPr>
        <w:t>Toute demande en paiement du Bénéficiaire doit être accompagnée d’une déclaration attestant que le Titulaire ne se conforme pas aux conditions du Marché concernant l’utilisation de l’avance.</w:t>
      </w:r>
    </w:p>
    <w:p>
      <w:pPr>
        <w:spacing w:after="120"/>
        <w:jc w:val="both"/>
      </w:pPr>
      <w:r>
        <w:rPr>
          <w:b w:val="off"/>
          <w:sz w:val="22"/>
        </w:rPr>
        <w:t>Toute demande et paiement au titre de la présente garantie est conditionnelle à la réception par le Titulaire de l’avance mentionnée plus haut à son compte portant le numéro &lt;insérer le numéro du compte bancaire&gt; ouvert auprès de &lt;insérer les noms et adresse de la banque&gt;.</w:t>
      </w:r>
    </w:p>
    <w:p>
      <w:pPr>
        <w:spacing w:after="120"/>
        <w:jc w:val="both"/>
      </w:pPr>
      <w:r>
        <w:rPr>
          <w:b w:val="off"/>
          <w:sz w:val="22"/>
        </w:rPr>
        <w:t>La présente garantie sera automatiquement réduite à due concurrence au fur et à mesure de l’imputation de l’avance sur les acomptes et restera valable à partir de la date de réception de l’avance jusqu’à ce que le Bénéficiaire reçoive du Titulaire la totalité du remboursement du même montant.</w:t>
      </w:r>
    </w:p>
    <w:p>
      <w:pPr>
        <w:spacing w:after="120"/>
        <w:jc w:val="both"/>
      </w:pPr>
      <w:r>
        <w:rPr>
          <w:b w:val="off"/>
          <w:sz w:val="22"/>
        </w:rPr>
        <w:t>La présente garantie est régie par la loi malgache. Tout différend relatif à son interprétation ou à son exécution sera soumis aux tribunaux compétents de la République de Madagascar.</w:t>
      </w:r>
    </w:p>
    <w:p>
      <w:pPr>
        <w:spacing w:after="120"/>
        <w:jc w:val="both"/>
      </w:pPr>
      <w:r>
        <w:rPr>
          <w:b w:val="off"/>
          <w:sz w:val="22"/>
        </w:rPr>
        <w:t>SIGNATURE et authentification du signataire __________________________________________</w:t>
      </w:r>
    </w:p>
    <w:p>
      <w:pPr>
        <w:spacing w:after="120"/>
        <w:jc w:val="both"/>
      </w:pPr>
      <w:r>
        <w:rPr>
          <w:b w:val="off"/>
          <w:sz w:val="22"/>
        </w:rPr>
        <w:t>Nom de la Banque _________________________________________________________________</w:t>
      </w:r>
    </w:p>
    <w:p>
      <w:pPr>
        <w:spacing w:after="120"/>
        <w:jc w:val="both"/>
      </w:pPr>
      <w:r>
        <w:rPr>
          <w:b w:val="off"/>
          <w:sz w:val="22"/>
        </w:rPr>
        <w:t>Adresse _________________________________________________________________________</w:t>
      </w:r>
    </w:p>
    <w:p>
      <w:pPr>
        <w:spacing w:after="120"/>
        <w:jc w:val="both"/>
      </w:pPr>
      <w:r>
        <w:rPr>
          <w:b w:val="off"/>
          <w:sz w:val="22"/>
        </w:rPr>
        <w:t>Date _____________________________________________________________________________</w:t>
      </w:r>
    </w:p>
    <w:p>
      <w:pPr>
        <w:spacing w:after="120"/>
        <w:jc w:val="both"/>
      </w:pPr>
      <w:r>
        <w:rPr>
          <w:b w:val="off"/>
          <w:sz w:val="22"/>
        </w:rPr>
        <w:t>Cachet</w:t>
      </w:r>
    </w:p>
    <w:p>
      <w:pPr>
        <w:spacing w:after="160"/>
        <w:jc w:val="left"/>
      </w:pPr>
      <w:r>
        <w:rPr>
          <w:b w:val="on"/>
          <w:sz w:val="22"/>
        </w:rPr>
        <w:t>Annexe au CCAP</w:t>
      </w:r>
    </w:p>
    <w:p>
      <w:pPr>
        <w:spacing w:after="120"/>
        <w:jc w:val="both"/>
      </w:pPr>
      <w:r>
        <w:rPr>
          <w:b w:val="off"/>
          <w:sz w:val="22"/>
        </w:rPr>
        <w:t>Modèle de Caution Personnelle et solidaire de restitution d’avance</w:t>
      </w:r>
    </w:p>
    <w:p>
      <w:pPr>
        <w:spacing w:after="120"/>
        <w:jc w:val="both"/>
      </w:pPr>
      <w:r>
        <w:rPr>
          <w:b w:val="off"/>
          <w:sz w:val="22"/>
        </w:rPr>
        <w:t>Nous soussignés &lt; indiquer la dénomination sociale de l’organisme de caution, le siège social &gt;</w:t>
      </w:r>
    </w:p>
    <w:p>
      <w:pPr>
        <w:spacing w:after="120"/>
        <w:jc w:val="both"/>
      </w:pPr>
      <w:r>
        <w:rPr>
          <w:b w:val="off"/>
          <w:sz w:val="22"/>
        </w:rPr>
        <w:t>déclarons nous porter caution personnelle et solidaire de &lt;indiquer le nom et l’adresse complète du Titulaire du Marché&gt; (ci-après dénommé « le Titulaire ») pour le montant du cautionnement auquel le Titulaire est assujetti, en qualité de Titulaire du Marché n° &lt;indiquer le numéro du Marché&gt; (ci-après dénommé « le Marché ») conclu avec &lt;dénomination de l’Autorité Contractante&gt; ( ci-après dénommée « le Bénéficiaire ») en date du &lt;indiquer la date de conclusion du Marché&gt; et portant sur l’exécution de &lt;intitulé ou objet résumé du marché&gt;,</w:t>
      </w:r>
    </w:p>
    <w:p>
      <w:pPr>
        <w:spacing w:after="120"/>
        <w:jc w:val="both"/>
      </w:pPr>
      <w:r>
        <w:rPr>
          <w:b w:val="off"/>
          <w:sz w:val="22"/>
        </w:rPr>
        <w:t>ledit cautionnement s’élève à &lt;indiquer le montant en chiffres et en lettres de l’avance prévue par le marché&gt;,</w:t>
      </w:r>
    </w:p>
    <w:p>
      <w:pPr>
        <w:spacing w:after="120"/>
        <w:jc w:val="both"/>
      </w:pPr>
      <w:r>
        <w:rPr>
          <w:b w:val="off"/>
          <w:sz w:val="22"/>
        </w:rPr>
        <w:t>nous engageons à effectuer, sur demande de paiement du Bénéficiaire adressée par courrier avec accusé de réception, reçue au plus tard à la date d’expiration mentionnée ci-après, sans pouvoir différer le paiement ou soulever de contestation pour quelque motif que ce soit, jusqu’à concurrence de la somme garantie ci-dessus, le versement des sommes dont le Titulaire serait reconnu débiteur au du fait d'une utilisation de l'avance non conforme aux dispositions du Marché.</w:t>
      </w:r>
    </w:p>
    <w:p>
      <w:pPr>
        <w:spacing w:after="120"/>
        <w:jc w:val="both"/>
      </w:pPr>
      <w:r>
        <w:rPr>
          <w:b w:val="off"/>
          <w:sz w:val="22"/>
        </w:rPr>
        <w:t>Le présent engagement sera automatiquement réduit à due concurrence au fur et à mesure de l’imputation de l’avance sur les acomptes et restera valable à partir de la date de réception de l’avance jusqu’à ce que le Bénéficiaire reçoive du Titulaire la totalité du remboursement du même montant.</w:t>
      </w:r>
    </w:p>
    <w:p>
      <w:pPr>
        <w:spacing w:after="120"/>
        <w:jc w:val="both"/>
      </w:pPr>
      <w:r>
        <w:rPr>
          <w:b w:val="off"/>
          <w:sz w:val="22"/>
        </w:rPr>
        <w:t>Le présent engagement est régie par la loi malgache. Tout différend relatif à son interprétation ou à son exécution sera soumis aux tribunaux compétents de la République de Madagascar.</w:t>
      </w:r>
    </w:p>
    <w:p>
      <w:pPr>
        <w:spacing w:after="120"/>
        <w:jc w:val="both"/>
      </w:pPr>
      <w:r>
        <w:rPr>
          <w:b w:val="off"/>
          <w:sz w:val="22"/>
        </w:rPr>
        <w:t>Fait à _________ le __________</w:t>
      </w:r>
    </w:p>
    <w:p>
      <w:pPr>
        <w:spacing w:after="120"/>
        <w:jc w:val="both"/>
      </w:pPr>
      <w:r>
        <w:rPr>
          <w:b w:val="off"/>
          <w:sz w:val="22"/>
        </w:rPr>
        <w:t>SIGNATURE et authentification du signataire __________________________________________</w:t>
      </w:r>
    </w:p>
    <w:p>
      <w:pPr>
        <w:spacing w:after="120"/>
        <w:jc w:val="both"/>
      </w:pPr>
      <w:r>
        <w:rPr>
          <w:b w:val="off"/>
          <w:sz w:val="22"/>
        </w:rPr>
        <w:t>Nom de l’organisme _______________________________________________________________</w:t>
      </w:r>
    </w:p>
    <w:p>
      <w:pPr>
        <w:spacing w:after="120"/>
        <w:jc w:val="both"/>
      </w:pPr>
      <w:r>
        <w:rPr>
          <w:b w:val="off"/>
          <w:sz w:val="22"/>
        </w:rPr>
        <w:t>Adresse _________________________________________________________________________</w:t>
      </w:r>
    </w:p>
    <w:p>
      <w:pPr>
        <w:spacing w:after="120"/>
        <w:jc w:val="both"/>
      </w:pPr>
      <w:r>
        <w:rPr>
          <w:b w:val="off"/>
          <w:sz w:val="22"/>
        </w:rPr>
        <w:t>Date _____________________________________________________________________________</w:t>
      </w:r>
    </w:p>
    <w:p>
      <w:pPr>
        <w:spacing w:after="120"/>
        <w:jc w:val="both"/>
      </w:pPr>
      <w:r>
        <w:rPr>
          <w:b w:val="off"/>
          <w:sz w:val="22"/>
        </w:rPr>
        <w:t>Cachet</w:t>
      </w:r>
    </w:p>
    <w:p>
      <w:pPr>
        <w:spacing w:after="120"/>
        <w:jc w:val="both"/>
      </w:pPr>
      <w:r>
        <w:rPr>
          <w:b w:val="off"/>
          <w:sz w:val="22"/>
        </w:rPr>
        <w:t>{{FINSI:ANNEXE-AVANCE}}</w:t>
      </w:r>
    </w:p>
    <w:p>
      <w:pPr>
        <w:spacing w:after="160"/>
        <w:jc w:val="left"/>
      </w:pPr>
      <w:r>
        <w:rPr>
          <w:b w:val="on"/>
          <w:sz w:val="22"/>
        </w:rPr>
        <w:t>Annexe au CCAP</w:t>
      </w:r>
    </w:p>
    <w:p>
      <w:pPr>
        <w:spacing w:after="120"/>
        <w:jc w:val="both"/>
      </w:pPr>
      <w:r>
        <w:rPr>
          <w:b w:val="off"/>
          <w:sz w:val="22"/>
        </w:rPr>
        <w:t>Cadre de bordereau des prix et</w:t>
      </w:r>
    </w:p>
    <w:p>
      <w:pPr>
        <w:spacing w:after="120"/>
        <w:jc w:val="both"/>
      </w:pPr>
      <w:r>
        <w:rPr>
          <w:b w:val="off"/>
          <w:sz w:val="22"/>
        </w:rPr>
        <w:t>Détail quantitatif et estimatif*</w:t>
      </w:r>
    </w:p>
    <w:p>
      <w:pPr>
        <w:spacing w:after="120"/>
        <w:jc w:val="both"/>
      </w:pPr>
      <w:r>
        <w:rPr>
          <w:b w:val="off"/>
          <w:sz w:val="22"/>
        </w:rPr>
        <w:t>BORDEREAU DES PRIX</w:t>
      </w:r>
    </w:p>
    <w:tbl>
      <w:tblPr>
        <w:tblW w:w="5000" w:type="pct"/>
        <w:tblBorders>
          <w:top w:val="single"/>
          <w:left w:val="single"/>
          <w:bottom w:val="single"/>
          <w:right w:val="single"/>
          <w:insideH w:val="single"/>
          <w:insideV w:val="single"/>
        </w:tblBorders>
      </w:tblPr>
      <w:tr>
        <w:tc>
          <w:tcPr>
            <w:tcW w:type="pct" w:w="1666"/>
          </w:tcPr>
          <w:p>
            <w:r>
              <w:rPr>
                <w:sz w:val="20"/>
              </w:rPr>
              <w:t>No</w:t>
            </w:r>
          </w:p>
        </w:tc>
        <w:tc>
          <w:tcPr>
            <w:tcW w:type="pct" w:w="1666"/>
          </w:tcPr>
          <w:p>
            <w:r>
              <w:rPr>
                <w:sz w:val="20"/>
              </w:rPr>
              <w:t>Désignation des tâches</w:t>
            </w:r>
          </w:p>
          <w:p>
            <w:r>
              <w:rPr>
                <w:sz w:val="20"/>
              </w:rPr>
              <w:t>et prix unitaires en toutes lettres</w:t>
            </w:r>
          </w:p>
        </w:tc>
        <w:tc>
          <w:tcPr>
            <w:tcW w:type="pct" w:w="1666"/>
          </w:tcPr>
          <w:p>
            <w:r>
              <w:rPr>
                <w:sz w:val="20"/>
              </w:rPr>
              <w:t>Prix unitaires</w:t>
            </w:r>
          </w:p>
        </w:tc>
      </w:tr>
    </w:tbl>
    <w:p/>
    <w:tbl>
      <w:tblPr>
        <w:tblW w:w="5000" w:type="pct"/>
        <w:tblBorders>
          <w:top w:val="single"/>
          <w:left w:val="single"/>
          <w:bottom w:val="single"/>
          <w:right w:val="single"/>
          <w:insideH w:val="single"/>
          <w:insideV w:val="single"/>
        </w:tblBorders>
      </w:tblPr>
      <w:tr>
        <w:tc>
          <w:tcPr>
            <w:tcW w:type="pct" w:w="1250"/>
          </w:tcPr>
          <w:p>
            <w:r>
              <w:rPr>
                <w:sz w:val="20"/>
              </w:rPr>
              <w:t/>
            </w:r>
          </w:p>
        </w:tc>
        <w:tc>
          <w:tcPr>
            <w:tcW w:type="pct" w:w="1250"/>
          </w:tcPr>
          <w:p>
            <w:r>
              <w:rPr>
                <w:sz w:val="20"/>
              </w:rPr>
              <w:t/>
            </w:r>
          </w:p>
        </w:tc>
        <w:tc>
          <w:tcPr>
            <w:tcW w:type="pct" w:w="1250"/>
          </w:tcPr>
          <w:p>
            <w:r>
              <w:rPr>
                <w:sz w:val="20"/>
              </w:rPr>
              <w:t>Ariary</w:t>
            </w:r>
          </w:p>
        </w:tc>
        <w:tc>
          <w:tcPr>
            <w:tcW w:type="pct" w:w="1250"/>
          </w:tcPr>
          <w:p>
            <w:r>
              <w:rPr>
                <w:sz w:val="20"/>
              </w:rPr>
              <w:t>Autre(s) monnaie(s)</w:t>
            </w:r>
          </w:p>
          <w:p>
            <w:r>
              <w:rPr>
                <w:sz w:val="20"/>
              </w:rPr>
              <w:t>(1)</w:t>
            </w:r>
          </w:p>
        </w:tc>
      </w:tr>
      <w:tr>
        <w:tc>
          <w:tcPr>
            <w:tcW w:type="pct" w:w="1250"/>
          </w:tcPr>
          <w:p>
            <w:r>
              <w:rPr>
                <w:sz w:val="20"/>
              </w:rPr>
              <w:t/>
            </w:r>
          </w:p>
        </w:tc>
        <w:tc>
          <w:tcPr>
            <w:tcW w:type="pct" w:w="1250"/>
          </w:tcPr>
          <w:p>
            <w:r>
              <w:rPr>
                <w:sz w:val="20"/>
              </w:rPr>
              <w:t>Poste &lt;numéro&gt;- &lt;intitulé&gt;</w:t>
            </w:r>
          </w:p>
        </w:tc>
        <w:tc>
          <w:tcPr>
            <w:tcW w:type="pct" w:w="1250"/>
          </w:tcPr>
          <w:p>
            <w:r>
              <w:rPr>
                <w:sz w:val="20"/>
              </w:rPr>
              <w:t/>
            </w:r>
          </w:p>
        </w:tc>
        <w:tc>
          <w:tcPr>
            <w:tcW w:type="pct" w:w="1250"/>
          </w:tcPr>
          <w:p>
            <w:r>
              <w:rPr>
                <w:sz w:val="20"/>
              </w:rPr>
              <w:t/>
            </w:r>
          </w:p>
        </w:tc>
      </w:tr>
      <w:tr>
        <w:tc>
          <w:tcPr>
            <w:tcW w:type="pct" w:w="1250"/>
          </w:tcPr>
          <w:p>
            <w:r>
              <w:rPr>
                <w:sz w:val="20"/>
              </w:rPr>
              <w:t/>
            </w:r>
          </w:p>
        </w:tc>
        <w:tc>
          <w:tcPr>
            <w:tcW w:type="pct" w:w="1250"/>
          </w:tcPr>
          <w:p>
            <w:r>
              <w:rPr>
                <w:sz w:val="20"/>
              </w:rPr>
              <w:t/>
            </w:r>
          </w:p>
        </w:tc>
        <w:tc>
          <w:tcPr>
            <w:tcW w:type="pct" w:w="1250"/>
          </w:tcPr>
          <w:p>
            <w:r>
              <w:rPr>
                <w:sz w:val="20"/>
              </w:rPr>
              <w:t>...................</w:t>
            </w:r>
          </w:p>
        </w:tc>
        <w:tc>
          <w:tcPr>
            <w:tcW w:type="pct" w:w="1250"/>
          </w:tcPr>
          <w:p>
            <w:r>
              <w:rPr>
                <w:sz w:val="20"/>
              </w:rPr>
              <w:t>..................</w:t>
            </w:r>
          </w:p>
        </w:tc>
      </w:tr>
    </w:tbl>
    <w:p/>
    <w:p>
      <w:pPr>
        <w:spacing w:after="120"/>
        <w:jc w:val="both"/>
      </w:pPr>
      <w:r>
        <w:rPr>
          <w:b w:val="off"/>
          <w:sz w:val="22"/>
        </w:rPr>
        <w:t>DETAIL QUANTITATIF ET ESTIMATIF</w:t>
      </w:r>
    </w:p>
    <w:tbl>
      <w:tblPr>
        <w:tblW w:w="5000" w:type="pct"/>
        <w:tblBorders>
          <w:top w:val="single"/>
          <w:left w:val="single"/>
          <w:bottom w:val="single"/>
          <w:right w:val="single"/>
          <w:insideH w:val="single"/>
          <w:insideV w:val="single"/>
        </w:tblBorders>
      </w:tblPr>
      <w:tr>
        <w:tc>
          <w:tcPr>
            <w:tcW w:type="pct" w:w="833"/>
          </w:tcPr>
          <w:p>
            <w:r>
              <w:rPr>
                <w:sz w:val="20"/>
              </w:rPr>
              <w:t/>
            </w:r>
          </w:p>
        </w:tc>
        <w:tc>
          <w:tcPr>
            <w:tcW w:type="pct" w:w="833"/>
          </w:tcPr>
          <w:p>
            <w:r>
              <w:rPr>
                <w:sz w:val="20"/>
              </w:rPr>
              <w:t/>
            </w:r>
          </w:p>
        </w:tc>
        <w:tc>
          <w:tcPr>
            <w:tcW w:type="pct" w:w="833"/>
          </w:tcPr>
          <w:p>
            <w:r>
              <w:rPr>
                <w:sz w:val="20"/>
              </w:rPr>
              <w:t/>
            </w:r>
          </w:p>
        </w:tc>
        <w:tc>
          <w:tcPr>
            <w:tcW w:type="pct" w:w="833"/>
          </w:tcPr>
          <w:p>
            <w:r>
              <w:rPr>
                <w:sz w:val="20"/>
              </w:rPr>
              <w:t/>
            </w:r>
          </w:p>
        </w:tc>
        <w:tc>
          <w:tcPr>
            <w:tcW w:type="pct" w:w="833"/>
          </w:tcPr>
          <w:p>
            <w:r>
              <w:rPr>
                <w:sz w:val="20"/>
              </w:rPr>
              <w:t>Prix unitaires</w:t>
            </w:r>
          </w:p>
        </w:tc>
        <w:tc>
          <w:tcPr>
            <w:tcW w:type="pct" w:w="833"/>
          </w:tcPr>
          <w:p>
            <w:r>
              <w:rPr>
                <w:sz w:val="20"/>
              </w:rPr>
              <w:t>Prix total</w:t>
            </w:r>
          </w:p>
        </w:tc>
      </w:tr>
    </w:tbl>
    <w:p/>
    <w:tbl>
      <w:tblPr>
        <w:tblW w:w="5000" w:type="pct"/>
        <w:tblBorders>
          <w:top w:val="single"/>
          <w:left w:val="single"/>
          <w:bottom w:val="single"/>
          <w:right w:val="single"/>
          <w:insideH w:val="single"/>
          <w:insideV w:val="single"/>
        </w:tblBorders>
      </w:tblPr>
      <w:tr>
        <w:tc>
          <w:tcPr>
            <w:tcW w:type="pct" w:w="625"/>
          </w:tcPr>
          <w:p>
            <w:r>
              <w:rPr>
                <w:sz w:val="20"/>
              </w:rPr>
              <w:t>No</w:t>
            </w:r>
          </w:p>
          <w:p>
            <w:r>
              <w:rPr>
                <w:sz w:val="20"/>
              </w:rPr>
              <w:t>Prix</w:t>
            </w:r>
          </w:p>
        </w:tc>
        <w:tc>
          <w:tcPr>
            <w:tcW w:type="pct" w:w="625"/>
          </w:tcPr>
          <w:p>
            <w:r>
              <w:rPr>
                <w:sz w:val="20"/>
              </w:rPr>
              <w:t>Désignation des ouvrages</w:t>
            </w:r>
          </w:p>
        </w:tc>
        <w:tc>
          <w:tcPr>
            <w:tcW w:type="pct" w:w="625"/>
          </w:tcPr>
          <w:p>
            <w:r>
              <w:rPr>
                <w:sz w:val="20"/>
              </w:rPr>
              <w:t>Unité</w:t>
            </w:r>
          </w:p>
        </w:tc>
        <w:tc>
          <w:tcPr>
            <w:tcW w:type="pct" w:w="625"/>
          </w:tcPr>
          <w:p>
            <w:r>
              <w:rPr>
                <w:sz w:val="20"/>
              </w:rPr>
              <w:t>Quantité</w:t>
            </w:r>
          </w:p>
        </w:tc>
        <w:tc>
          <w:tcPr>
            <w:tcW w:type="pct" w:w="625"/>
          </w:tcPr>
          <w:p>
            <w:r>
              <w:rPr>
                <w:sz w:val="20"/>
              </w:rPr>
              <w:t>Part en Ariary</w:t>
            </w:r>
          </w:p>
        </w:tc>
        <w:tc>
          <w:tcPr>
            <w:tcW w:type="pct" w:w="625"/>
          </w:tcPr>
          <w:p>
            <w:r>
              <w:rPr>
                <w:sz w:val="20"/>
              </w:rPr>
              <w:t>Part en devises</w:t>
            </w:r>
          </w:p>
        </w:tc>
        <w:tc>
          <w:tcPr>
            <w:tcW w:type="pct" w:w="625"/>
          </w:tcPr>
          <w:p>
            <w:r>
              <w:rPr>
                <w:sz w:val="20"/>
              </w:rPr>
              <w:t>Part en Ariary</w:t>
            </w:r>
          </w:p>
        </w:tc>
        <w:tc>
          <w:tcPr>
            <w:tcW w:type="pct" w:w="625"/>
          </w:tcPr>
          <w:p>
            <w:r>
              <w:rPr>
                <w:sz w:val="20"/>
              </w:rPr>
              <w:t>Part en devises (1)</w:t>
            </w:r>
          </w:p>
        </w:tc>
      </w:tr>
      <w:tr>
        <w:tc>
          <w:tcPr>
            <w:tcW w:type="pct" w:w="625"/>
          </w:tcPr>
          <w:p>
            <w:r>
              <w:rPr>
                <w:sz w:val="20"/>
              </w:rPr>
              <w:t/>
            </w:r>
          </w:p>
        </w:tc>
        <w:tc>
          <w:tcPr>
            <w:tcW w:type="pct" w:w="625"/>
          </w:tcPr>
          <w:p>
            <w:r>
              <w:rPr>
                <w:sz w:val="20"/>
              </w:rPr>
              <w:t>Poste &lt;numéro&gt;- &lt;intitulé&gt;</w:t>
            </w:r>
          </w:p>
        </w:tc>
        <w:tc>
          <w:tcPr>
            <w:tcW w:type="pct" w:w="625"/>
          </w:tcPr>
          <w:p>
            <w:r>
              <w:rPr>
                <w:sz w:val="20"/>
              </w:rPr>
              <w:t/>
            </w:r>
          </w:p>
        </w:tc>
        <w:tc>
          <w:tcPr>
            <w:tcW w:type="pct" w:w="625"/>
          </w:tcPr>
          <w:p>
            <w:r>
              <w:rPr>
                <w:sz w:val="20"/>
              </w:rPr>
              <w:t/>
            </w:r>
          </w:p>
        </w:tc>
        <w:tc>
          <w:tcPr>
            <w:tcW w:type="pct" w:w="625"/>
          </w:tcPr>
          <w:p>
            <w:r>
              <w:rPr>
                <w:sz w:val="20"/>
              </w:rPr>
              <w:t/>
            </w:r>
          </w:p>
        </w:tc>
        <w:tc>
          <w:tcPr>
            <w:tcW w:type="pct" w:w="625"/>
          </w:tcPr>
          <w:p>
            <w:r>
              <w:rPr>
                <w:sz w:val="20"/>
              </w:rPr>
              <w:t/>
            </w:r>
          </w:p>
        </w:tc>
        <w:tc>
          <w:tcPr>
            <w:tcW w:type="pct" w:w="625"/>
          </w:tcPr>
          <w:p>
            <w:r>
              <w:rPr>
                <w:sz w:val="20"/>
              </w:rPr>
              <w:t/>
            </w:r>
          </w:p>
        </w:tc>
        <w:tc>
          <w:tcPr>
            <w:tcW w:type="pct" w:w="625"/>
          </w:tcPr>
          <w:p>
            <w:r>
              <w:rPr>
                <w:sz w:val="20"/>
              </w:rPr>
              <w:t/>
            </w:r>
          </w:p>
        </w:tc>
      </w:tr>
      <w:tr>
        <w:tc>
          <w:tcPr>
            <w:tcW w:type="pct" w:w="625"/>
          </w:tcPr>
          <w:p>
            <w:r>
              <w:rPr>
                <w:sz w:val="20"/>
              </w:rPr>
              <w:t/>
            </w:r>
          </w:p>
        </w:tc>
        <w:tc>
          <w:tcPr>
            <w:tcW w:type="pct" w:w="625"/>
          </w:tcPr>
          <w:p>
            <w:r>
              <w:rPr>
                <w:sz w:val="20"/>
              </w:rPr>
              <w:t>TOTAL POSTE</w:t>
            </w:r>
          </w:p>
        </w:tc>
        <w:tc>
          <w:tcPr>
            <w:tcW w:type="pct" w:w="625"/>
          </w:tcPr>
          <w:p>
            <w:r>
              <w:rPr>
                <w:sz w:val="20"/>
              </w:rPr>
              <w:t>Forfait</w:t>
            </w:r>
          </w:p>
          <w:p>
            <w:r>
              <w:rPr>
                <w:sz w:val="20"/>
              </w:rPr>
              <w:t>&lt;soit</w:t>
            </w:r>
          </w:p>
          <w:p>
            <w:r>
              <w:rPr>
                <w:sz w:val="20"/>
              </w:rPr>
              <w:t>unité de mesure&gt;</w:t>
            </w:r>
          </w:p>
        </w:tc>
        <w:tc>
          <w:tcPr>
            <w:tcW w:type="pct" w:w="625"/>
          </w:tcPr>
          <w:p>
            <w:r>
              <w:rPr>
                <w:sz w:val="20"/>
              </w:rPr>
              <w:t/>
            </w:r>
          </w:p>
        </w:tc>
        <w:tc>
          <w:tcPr>
            <w:tcW w:type="pct" w:w="625"/>
          </w:tcPr>
          <w:p>
            <w:r>
              <w:rPr>
                <w:sz w:val="20"/>
              </w:rPr>
              <w:t/>
            </w:r>
          </w:p>
        </w:tc>
        <w:tc>
          <w:tcPr>
            <w:tcW w:type="pct" w:w="625"/>
          </w:tcPr>
          <w:p>
            <w:r>
              <w:rPr>
                <w:sz w:val="20"/>
              </w:rPr>
              <w:t/>
            </w:r>
          </w:p>
        </w:tc>
        <w:tc>
          <w:tcPr>
            <w:tcW w:type="pct" w:w="625"/>
          </w:tcPr>
          <w:p>
            <w:r>
              <w:rPr>
                <w:sz w:val="20"/>
              </w:rPr>
              <w:t/>
            </w:r>
          </w:p>
        </w:tc>
        <w:tc>
          <w:tcPr>
            <w:tcW w:type="pct" w:w="625"/>
          </w:tcPr>
          <w:p>
            <w:r>
              <w:rPr>
                <w:sz w:val="20"/>
              </w:rPr>
              <w:t/>
            </w:r>
          </w:p>
        </w:tc>
      </w:tr>
    </w:tbl>
    <w:p/>
    <w:p>
      <w:pPr>
        <w:spacing w:after="160"/>
        <w:jc w:val="left"/>
      </w:pPr>
      <w:r>
        <w:rPr>
          <w:b w:val="on"/>
          <w:sz w:val="22"/>
        </w:rPr>
        <w:t>SPECIFICATIONS TECHNIQUES</w:t>
      </w:r>
    </w:p>
    <w:p>
      <w:pPr>
        <w:spacing w:after="120"/>
        <w:jc w:val="both"/>
      </w:pPr>
      <w:r>
        <w:rPr>
          <w:b w:val="off"/>
          <w:sz w:val="22"/>
        </w:rPr>
        <w:t>Annexe aux Spécifications Techniques</w:t>
      </w:r>
    </w:p>
    <w:p>
      <w:pPr>
        <w:spacing w:after="120"/>
        <w:jc w:val="both"/>
      </w:pPr>
      <w:r>
        <w:rPr>
          <w:b w:val="off"/>
          <w:sz w:val="22"/>
        </w:rPr>
        <w:t>Liste des Plans</w:t>
      </w:r>
    </w:p>
    <w:p>
      <w:pPr>
        <w:spacing w:after="120"/>
        <w:jc w:val="both"/>
      </w:pPr>
      <w:r>
        <w:rPr>
          <w:b w:val="off"/>
          <w:sz w:val="22"/>
        </w:rPr>
        <w:t>{{SI:PLANS}}</w:t>
      </w:r>
    </w:p>
    <w:p>
      <w:pPr>
        <w:spacing w:after="120"/>
        <w:jc w:val="both"/>
      </w:pPr>
      <w:r>
        <w:rPr>
          <w:b w:val="off"/>
          <w:sz w:val="22"/>
        </w:rPr>
        <w:t>{{B04-CD-03}}</w:t>
      </w:r>
    </w:p>
    <w:p>
      <w:pPr>
        <w:spacing w:after="120"/>
        <w:jc w:val="both"/>
      </w:pPr>
      <w:r>
        <w:rPr>
          <w:b w:val="off"/>
          <w:sz w:val="22"/>
        </w:rPr>
        <w:t>{{FINSI:PLANS}}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2026-10-02T06:17:15Z</dcterms:created>
  <dc:creator>Apache POI</dc:creator>
</cp:coreProperties>
</file>