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REPOBLIKAN’I MADAGASIKARA</w:t>
      </w:r>
    </w:p>
    <w:p>
      <w:pPr>
        <w:spacing w:after="120"/>
        <w:jc w:val="center"/>
      </w:pPr>
      <w:r>
        <w:rPr>
          <w:b w:val="off"/>
          <w:sz w:val="22"/>
        </w:rPr>
        <w:t>Fitiavana - Tanindrazana - Fandrosoana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exécuter les travaux suivants : « {{B02-OB-01}} ».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{{SI:QF-MIXTE}}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{{FINSI:QF-MIXTE}}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{{SI:AC-MIXTE}}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{{FINSI:AC-MIXTE}}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{{SI:CC-MIXTE}}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{{FINSI:CC-MIXTE}}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{{B01-AC-02}} au plus tard le {{B04-OV-02.heureLocale}}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{{B05-GQ-03.lettres}} ({{B05-GQ-03}}),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2026-09-30T12:26:03Z</dcterms:created>
  <dc:creator>Apache POI</dc:creator>
</cp:coreProperties>
</file>