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Maître de l'Ouvrage et objet de l’appel d’offres</w:t>
            </w:r>
          </w:p>
        </w:tc>
        <w:tc>
          <w:tcPr>
            <w:tcW w:type="pct" w:w="2500"/>
          </w:tcPr>
          <w:p>
            <w:r>
              <w:rPr>
                <w:sz w:val="20"/>
              </w:rPr>
              <w:t/>
            </w:r>
          </w:p>
        </w:tc>
      </w:tr>
      <w:tr>
        <w:tc>
          <w:tcPr>
            <w:tcW w:type="pct" w:w="2500"/>
          </w:tcPr>
          <w:p>
            <w:r>
              <w:rPr>
                <w:sz w:val="20"/>
              </w:rPr>
              <w:t/>
            </w:r>
          </w:p>
        </w:tc>
        <w:tc>
          <w:tcPr>
            <w:tcW w:type="pct" w:w="2500"/>
          </w:tcPr>
          <w:p>
            <w:r>
              <w:rPr>
                <w:sz w:val="20"/>
              </w:rPr>
              <w:t>Maître de l'Ouvrage</w:t>
            </w:r>
          </w:p>
          <w:p>
            <w:r>
              <w:rPr>
                <w:sz w:val="20"/>
              </w:rPr>
              <w:t>{{B01-AC-01}}</w:t>
            </w:r>
          </w:p>
          <w:p>
            <w:r>
              <w:rPr>
                <w:sz w:val="20"/>
              </w:rPr>
              <w:t>Objet de l'appel d'offres</w:t>
            </w:r>
          </w:p>
          <w:p>
            <w:r>
              <w:rPr>
                <w:sz w:val="20"/>
              </w:rPr>
              <w:t>{{SI:PROJET}}</w:t>
            </w:r>
          </w:p>
          <w:p>
            <w:r>
              <w:rPr>
                <w:sz w:val="20"/>
              </w:rPr>
              <w:t>Le présent appel d'offres, s'inscrit dans:</w:t>
            </w:r>
          </w:p>
          <w:p>
            <w:r>
              <w:rPr>
                <w:sz w:val="20"/>
              </w:rPr>
              <w:t>{{B02-OT-01}}.</w:t>
            </w:r>
          </w:p>
          <w:p>
            <w:r>
              <w:rPr>
                <w:sz w:val="20"/>
              </w:rPr>
              <w:t>{{FINSI:PROJET}}</w:t>
            </w:r>
          </w:p>
          <w:p>
            <w:r>
              <w:rPr>
                <w:sz w:val="20"/>
              </w:rPr>
              <w:t>L’Appel d’offres a pour objet :</w:t>
            </w:r>
          </w:p>
          <w:p>
            <w:r>
              <w:rPr>
                <w:sz w:val="20"/>
              </w:rPr>
              <w:t>{{B02-OT-02}}</w:t>
            </w:r>
          </w:p>
        </w:tc>
      </w:tr>
      <w:tr>
        <w:tc>
          <w:tcPr>
            <w:tcW w:type="pct" w:w="2500"/>
          </w:tcPr>
          <w:p>
            <w:r>
              <w:rPr>
                <w:sz w:val="20"/>
              </w:rPr>
              <w:t>1.1 Lots, variantes et tranches</w:t>
            </w:r>
          </w:p>
        </w:tc>
        <w:tc>
          <w:tcPr>
            <w:tcW w:type="pct" w:w="2500"/>
          </w:tcPr>
          <w:p>
            <w:r>
              <w:rPr>
                <w:sz w:val="20"/>
              </w:rPr>
              <w:t>{{SI:ALLOTI}}</w:t>
            </w:r>
          </w:p>
          <w:p>
            <w:r>
              <w:rPr>
                <w:sz w:val="20"/>
              </w:rPr>
              <w:t>Lots</w:t>
            </w:r>
          </w:p>
          <w:p>
            <w:r>
              <w:rPr>
                <w:sz w:val="20"/>
              </w:rPr>
              <w:t>Les lots suivants faisant partie de {{B02-LT-01}} :</w:t>
            </w:r>
          </w:p>
          <w:p>
            <w:r>
              <w:rPr>
                <w:sz w:val="20"/>
              </w:rPr>
              <w:t>{{B02-LV-02}}</w:t>
            </w:r>
          </w:p>
          <w:p>
            <w:r>
              <w:rPr>
                <w:sz w:val="20"/>
              </w:rPr>
              <w:t>{{SI:LOTS-DIVISIBLES}}</w:t>
            </w:r>
          </w:p>
          <w:p>
            <w:r>
              <w:rPr>
                <w:sz w:val="20"/>
              </w:rPr>
              <w:t>Le candidat peut soumissionner pour un ou plusieurs lots</w:t>
            </w:r>
          </w:p>
          <w:p>
            <w:r>
              <w:rPr>
                <w:sz w:val="20"/>
              </w:rPr>
              <w:t>{{FINSI:LOTS-DIVISIBLES}}</w:t>
            </w:r>
          </w:p>
          <w:p>
            <w:r>
              <w:rPr>
                <w:sz w:val="20"/>
              </w:rPr>
              <w:t>{{SI:LIMITE-LOTS}}</w:t>
            </w:r>
          </w:p>
          <w:p>
            <w:r>
              <w:rPr>
                <w:sz w:val="20"/>
              </w:rPr>
              <w:t>mais ne peut prétendre qu’à {{B02-AU-07.lettres}} ({{B02-AU-07}}) lots</w:t>
            </w:r>
          </w:p>
          <w:p>
            <w:r>
              <w:rPr>
                <w:sz w:val="20"/>
              </w:rPr>
              <w:t>{{FINSI:LIMITE-LOTS}}</w:t>
            </w:r>
          </w:p>
          <w:p>
            <w:r>
              <w:rPr>
                <w:sz w:val="20"/>
              </w:rPr>
              <w:t>{{SI:LOTS-TOTALITE}}</w:t>
            </w:r>
          </w:p>
          <w:p>
            <w:r>
              <w:rPr>
                <w:sz w:val="20"/>
              </w:rPr>
              <w:t>Le candidat ne peut soumissionner que pour la totalité des lots</w:t>
            </w:r>
          </w:p>
          <w:p>
            <w:r>
              <w:rPr>
                <w:sz w:val="20"/>
              </w:rPr>
              <w:t>{{FINSI:LOTS-TOTALITE}}</w:t>
            </w:r>
          </w:p>
          <w:p>
            <w:r>
              <w:rPr>
                <w:sz w:val="20"/>
              </w:rPr>
              <w:t>{{FINSI:ALLOTI}}</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{{SI:TRANCHES}}</w:t>
            </w:r>
          </w:p>
          <w:p>
            <w:r>
              <w:rPr>
                <w:sz w:val="20"/>
              </w:rPr>
              <w:t>Tranches</w:t>
            </w:r>
          </w:p>
          <w:p>
            <w:r>
              <w:rPr>
                <w:sz w:val="20"/>
              </w:rPr>
              <w:t>Les travaux sont décomposés en tranches définies comme suit :</w:t>
            </w:r>
          </w:p>
          <w:p>
            <w:r>
              <w:rPr>
                <w:sz w:val="20"/>
              </w:rPr>
              <w:t>- tranche ferme: {{B02-LT-03}}</w:t>
            </w:r>
          </w:p>
          <w:p>
            <w:r>
              <w:rPr>
                <w:sz w:val="20"/>
              </w:rPr>
              <w:t>{{SI:TRANCHE-C1}}</w:t>
            </w:r>
          </w:p>
          <w:p>
            <w:r>
              <w:rPr>
                <w:sz w:val="20"/>
              </w:rPr>
              <w:t>- tranche conditionnelle 1: {{B02-LT-04}}</w:t>
            </w:r>
          </w:p>
          <w:p>
            <w:r>
              <w:rPr>
                <w:sz w:val="20"/>
              </w:rPr>
              <w:t>{{FINSI:TRANCHE-C1}}</w:t>
            </w:r>
          </w:p>
          <w:p>
            <w:r>
              <w:rPr>
                <w:sz w:val="20"/>
              </w:rPr>
              <w:t>{{SI:TRANCHE-C2}}</w:t>
            </w:r>
          </w:p>
          <w:p>
            <w:r>
              <w:rPr>
                <w:sz w:val="20"/>
              </w:rPr>
              <w:t>- tranche conditionnelle 2: {{B02-LT-05}}</w:t>
            </w:r>
          </w:p>
          <w:p>
            <w:r>
              <w:rPr>
                <w:sz w:val="20"/>
              </w:rPr>
              <w:t>{{FINSI:TRANCHE-C2}}</w:t>
            </w:r>
          </w:p>
          <w:p>
            <w:r>
              <w:rPr>
                <w:sz w:val="20"/>
              </w:rPr>
              <w:t>Les candidats doivent soumissionner pour la totalité des tranches.</w:t>
            </w:r>
          </w:p>
          <w:p>
            <w:r>
              <w:rPr>
                <w:sz w:val="20"/>
              </w:rPr>
              <w:t>Les délais d'affermissement de chaque tranche conditionnelle sont fixés par le CCAP</w:t>
            </w:r>
          </w:p>
          <w:p>
            <w:r>
              <w:rPr>
                <w:sz w:val="20"/>
              </w:rPr>
              <w:t>{{FINSI:TRANCHES}}</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 – Modifications</w:t>
            </w:r>
          </w:p>
        </w:tc>
        <w:tc>
          <w:tcPr>
            <w:tcW w:type="pct" w:w="2500"/>
          </w:tcPr>
          <w:p>
            <w:r>
              <w:rPr>
                <w:sz w:val="20"/>
              </w:rPr>
              <w:t/>
            </w:r>
          </w:p>
        </w:tc>
      </w:tr>
      <w:tr>
        <w:tc>
          <w:tcPr>
            <w:tcW w:type="pct" w:w="2500"/>
          </w:tcPr>
          <w:p>
            <w:r>
              <w:rPr>
                <w:sz w:val="20"/>
              </w:rPr>
              <w:t>5.1 Composition du DAO</w:t>
            </w:r>
          </w:p>
        </w:tc>
        <w:tc>
          <w:tcPr>
            <w:tcW w:type="pct" w:w="2500"/>
          </w:tcPr>
          <w:p>
            <w:r>
              <w:rPr>
                <w:sz w:val="20"/>
              </w:rPr>
              <w:t>1.3 - modèles de fiches de renseignements : {{B04-CD-01}}</w:t>
            </w:r>
          </w:p>
          <w:p>
            <w:r>
              <w:rPr>
                <w:sz w:val="20"/>
              </w:rPr>
              <w:t>{{SI:GARANTIE}}</w:t>
            </w:r>
          </w:p>
          <w:p>
            <w:r>
              <w:rPr>
                <w:sz w:val="20"/>
              </w:rPr>
              <w:t>- modèle de garantie de soumission</w:t>
            </w:r>
          </w:p>
          <w:p>
            <w:r>
              <w:rPr>
                <w:sz w:val="20"/>
              </w:rPr>
              <w:t>{{FINSI:GARANTIE}}</w:t>
            </w:r>
          </w:p>
          <w:p>
            <w:r>
              <w:rPr>
                <w:sz w:val="20"/>
              </w:rPr>
              <w:t>2.5 - Plan</w:t>
            </w:r>
          </w:p>
        </w:tc>
      </w:tr>
      <w:tr>
        <w:tc>
          <w:tcPr>
            <w:tcW w:type="pct" w:w="2500"/>
          </w:tcPr>
          <w:p>
            <w:r>
              <w:rPr>
                <w:sz w:val="20"/>
              </w:rPr>
              <w:t>5.2. Demandes d’éclaircissement</w:t>
            </w:r>
          </w:p>
        </w:tc>
        <w:tc>
          <w:tcPr>
            <w:tcW w:type="pct" w:w="2500"/>
          </w:tcPr>
          <w:p>
            <w:r>
              <w:rPr>
                <w:sz w:val="20"/>
              </w:rPr>
              <w:t>Adresse</w:t>
            </w:r>
          </w:p>
          <w:p>
            <w:r>
              <w:rPr>
                <w:sz w:val="20"/>
              </w:rPr>
              <w:t>Afin d’obtenir des éclaircissements, l’adresse de la Personne Responsable des Marchés Publics est la suivante :</w:t>
            </w:r>
          </w:p>
          <w:p>
            <w:r>
              <w:rPr>
                <w:sz w:val="20"/>
              </w:rPr>
              <w:t>Attention de : {{B01-AC-05}}</w:t>
            </w:r>
          </w:p>
          <w:p>
            <w:r>
              <w:rPr>
                <w:sz w:val="20"/>
              </w:rPr>
              <w:t>Rue : {{B01-AC-02}}</w:t>
            </w:r>
          </w:p>
          <w:p>
            <w:r>
              <w:rPr>
                <w:sz w:val="20"/>
              </w:rPr>
              <w:t>Adresse électronique : {{B01-AC-06}}</w:t>
            </w:r>
          </w:p>
          <w:p>
            <w:r>
              <w:rPr>
                <w:sz w:val="20"/>
              </w:rPr>
              <w:t>Délai pour l'envoi des demandes par les Candidats</w:t>
            </w:r>
          </w:p>
          <w:p>
            <w:r>
              <w:rPr>
                <w:sz w:val="20"/>
              </w:rPr>
              <w:t>{{B04-EQ-01}} jours avant la date limite fixée pour la remise des offres figurant à la clause 7.2 ci-dessous.</w:t>
            </w:r>
          </w:p>
          <w:p>
            <w:r>
              <w:rPr>
                <w:sz w:val="20"/>
              </w:rPr>
              <w:t>Délai pour la réponse du représentant de la PRMP</w:t>
            </w:r>
          </w:p>
          <w:p>
            <w:r>
              <w:rPr>
                <w:sz w:val="20"/>
              </w:rPr>
              <w:t>{{B04-EQ-02}}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1°- Documents ou pièces à remettre en sus de ceux mentionnés à la clause 6.2. des IC :</w:t>
            </w:r>
          </w:p>
          <w:p>
            <w:r>
              <w:rPr>
                <w:sz w:val="20"/>
              </w:rPr>
              <w:t>{{B04-PI-01}}</w:t>
            </w:r>
          </w:p>
          <w:p>
            <w:r>
              <w:rPr>
                <w:sz w:val="20"/>
              </w:rPr>
              <w:t>2° -</w:t>
            </w:r>
          </w:p>
          <w:p>
            <w:r>
              <w:rPr>
                <w:sz w:val="20"/>
              </w:rPr>
              <w:t>{{B03-CQ-01}}</w:t>
            </w:r>
          </w:p>
          <w:p>
            <w:r>
              <w:rPr>
                <w:sz w:val="20"/>
              </w:rPr>
              <w:t>{{SI:GARANTIE}}</w:t>
            </w:r>
          </w:p>
          <w:p>
            <w:r>
              <w:rPr>
                <w:sz w:val="20"/>
              </w:rPr>
              <w:t>4°- Garantie de soumission</w:t>
            </w:r>
          </w:p>
          <w:p>
            <w:r>
              <w:rPr>
                <w:sz w:val="20"/>
              </w:rPr>
              <w:t>{{FINSI:GARANTIE}}</w:t>
            </w:r>
          </w:p>
          <w:p>
            <w:r>
              <w:rPr>
                <w:sz w:val="20"/>
              </w:rPr>
              <w:t>{{SI:VISITE-OBLIGATOIRE}}</w:t>
            </w:r>
          </w:p>
          <w:p>
            <w:r>
              <w:rPr>
                <w:sz w:val="20"/>
              </w:rPr>
              <w:t>5°- Certificat de visite des lieux</w:t>
            </w:r>
          </w:p>
          <w:p>
            <w:r>
              <w:rPr>
                <w:sz w:val="20"/>
              </w:rPr>
              <w:t>{{FINSI:VISITE-OBLIGATOIRE}}</w:t>
            </w:r>
          </w:p>
        </w:tc>
      </w:tr>
      <w:tr>
        <w:tc>
          <w:tcPr>
            <w:tcW w:type="pct" w:w="2500"/>
          </w:tcPr>
          <w:p>
            <w:r>
              <w:rPr>
                <w:sz w:val="20"/>
              </w:rPr>
              <w:t>6.3. Capacités et qualifications des candidats</w:t>
            </w:r>
          </w:p>
        </w:tc>
        <w:tc>
          <w:tcPr>
            <w:tcW w:type="pct" w:w="2500"/>
          </w:tcPr>
          <w:p>
            <w:r>
              <w:rPr>
                <w:sz w:val="20"/>
              </w:rPr>
              <w:t>Fiches d'information</w:t>
            </w:r>
          </w:p>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3°Une fiche de renseignements relative à sa capacité financière;</w:t>
            </w:r>
          </w:p>
          <w:p>
            <w:r>
              <w:rPr>
                <w:sz w:val="20"/>
              </w:rPr>
              <w:t>4°la liste des principaux marchés portant sur des travaux de même type ou d'un type similaire réalisés au cours des {{B03-QT-12.lettres}} dernières années</w:t>
            </w:r>
          </w:p>
          <w:p>
            <w:r>
              <w:rPr>
                <w:sz w:val="20"/>
              </w:rPr>
              <w:t>{{SI:ONG}}</w:t>
            </w:r>
          </w:p>
          <w:p>
            <w:r>
              <w:rPr>
                <w:sz w:val="20"/>
              </w:rPr>
              <w:t>Les communautés locales et/ou les ONG sont admises à participer à l'appel d'offres. Par dérogation aux obligations de fournir les renseignements sus - mentionnés ces communautés n'ont pas à produire:</w:t>
            </w:r>
          </w:p>
          <w:p>
            <w:r>
              <w:rPr>
                <w:sz w:val="20"/>
              </w:rPr>
              <w:t>&lt;indiquer les formulaires ou informations que ces communautés et ONG sont dispensés de produire&gt;</w:t>
            </w:r>
          </w:p>
          <w:p>
            <w:r>
              <w:rPr>
                <w:sz w:val="20"/>
              </w:rPr>
              <w:t>{{FINSI:ONG}}</w:t>
            </w:r>
          </w:p>
        </w:tc>
      </w:tr>
      <w:tr>
        <w:tc>
          <w:tcPr>
            <w:tcW w:type="pct" w:w="2500"/>
          </w:tcPr>
          <w:p>
            <w:r>
              <w:rPr>
                <w:sz w:val="20"/>
              </w:rPr>
              <w:t/>
            </w:r>
          </w:p>
        </w:tc>
        <w:tc>
          <w:tcPr>
            <w:tcW w:type="pct" w:w="2500"/>
          </w:tcPr>
          <w:p>
            <w:r>
              <w:rPr>
                <w:sz w:val="20"/>
              </w:rPr>
              <w:t>Qualifications particulières requises</w:t>
            </w:r>
          </w:p>
          <w:p>
            <w:r>
              <w:rPr>
                <w:sz w:val="20"/>
              </w:rPr>
              <w:t>Aux fins du présent Marché, les Candidats doivent répondre aux critères de sélection minima suivants</w:t>
            </w:r>
          </w:p>
          <w:p>
            <w:r>
              <w:rPr>
                <w:sz w:val="20"/>
              </w:rPr>
              <w:t>{{SI:CHIFFRE-AFFAIRES}}</w:t>
            </w:r>
          </w:p>
          <w:p>
            <w:r>
              <w:rPr>
                <w:sz w:val="20"/>
              </w:rPr>
              <w:t>a) avoir réalisé un chiffre d’affaires annuel, pour des {{B03-QT-18}}, d’un montant équivalant à</w:t>
            </w:r>
          </w:p>
          <w:p>
            <w:r>
              <w:rPr>
                <w:sz w:val="20"/>
              </w:rPr>
              <w:t>{{B03-QT-07}}</w:t>
            </w:r>
          </w:p>
          <w:p>
            <w:r>
              <w:rPr>
                <w:sz w:val="20"/>
              </w:rPr>
              <w:t>{{FINSI:CHIFFRE-AFFAIRES}}</w:t>
            </w:r>
          </w:p>
          <w:p>
            <w:r>
              <w:rPr>
                <w:sz w:val="20"/>
              </w:rPr>
              <w:t>{{SI:CA-MOYENNE}}</w:t>
            </w:r>
          </w:p>
          <w:p>
            <w:r>
              <w:rPr>
                <w:sz w:val="20"/>
              </w:rPr>
              <w:t>a) avoir réalisé un chiffre d’affaires annuel moyen, calculé sur les {{B03-QT-16.lettres}} ({{B03-QT-16}}) meilleures des {{B03-QT-17.lettres}} ({{B03-QT-17}}) dernières années, pour des {{B03-QT-18}}, d’un montant équivalant à {{B03-QT-07}}</w:t>
            </w:r>
          </w:p>
          <w:p>
            <w:r>
              <w:rPr>
                <w:sz w:val="20"/>
              </w:rPr>
              <w:t>{{FINSI:CA-MOYENNE}}</w:t>
            </w:r>
          </w:p>
          <w:p>
            <w:r>
              <w:rPr>
                <w:sz w:val="20"/>
              </w:rPr>
              <w:t>{{SI:REFERENCES-UN}}</w:t>
            </w:r>
          </w:p>
          <w:p>
            <w:r>
              <w:rPr>
                <w:sz w:val="20"/>
              </w:rPr>
              <w:t>b) avoir réalisé avec succès en tant qu’entrepreneur principal au moins un projet de nature et de complexité comparables à celles des Travaux au cours des {{B03-QT-12.lettres}} ({{B03-QT-12}}) dernières années et comprenant:</w:t>
            </w:r>
          </w:p>
          <w:p>
            <w:r>
              <w:rPr>
                <w:sz w:val="20"/>
              </w:rPr>
              <w:t>{{FINSI:REFERENCES-UN}}</w:t>
            </w:r>
          </w:p>
          <w:p>
            <w:r>
              <w:rPr>
                <w:sz w:val="20"/>
              </w:rPr>
              <w:t>{{SI:REFERENCES-CUMUL}}</w:t>
            </w:r>
          </w:p>
          <w:p>
            <w:r>
              <w:rPr>
                <w:sz w:val="20"/>
              </w:rPr>
              <w:t>b) avoir réalisé avec succès en tant qu’entrepreneur principal, au cours des {{B03-QT-12.lettres}} ({{B03-QT-12}}) dernières années, au plus {{B03-QT-19.lettres}} ({{B03-QT-19}}) marchés de nature et de complexité comparables à celles des Travaux, d’un montant cumulé d’au moins {{B03-QT-20.parLot}}, et comprenant :</w:t>
            </w:r>
          </w:p>
          <w:p>
            <w:r>
              <w:rPr>
                <w:sz w:val="20"/>
              </w:rPr>
              <w:t>{{FINSI:REFERENCES-CUMUL}}</w:t>
            </w:r>
          </w:p>
          <w:p>
            <w:r>
              <w:rPr>
                <w:sz w:val="20"/>
              </w:rPr>
              <w:t>{{B03-QT-08.parLot}}</w:t>
            </w:r>
          </w:p>
          <w:p>
            <w:r>
              <w:rPr>
                <w:sz w:val="20"/>
              </w:rPr>
              <w:t>(c) indiquer sous quelle forme (propriété, location, etc.) l'Entrepreneur pourra disposer en temps voulu des gros matériels et équipements essentiels ci-après :</w:t>
            </w:r>
          </w:p>
          <w:p>
            <w:r>
              <w:rPr>
                <w:sz w:val="20"/>
              </w:rPr>
              <w:t>{{SI:MATERIEL-LISTE}}</w:t>
            </w:r>
          </w:p>
          <w:p>
            <w:r>
              <w:rPr>
                <w:sz w:val="20"/>
              </w:rPr>
              <w:t>{{MOYENS.materiel}}</w:t>
            </w:r>
          </w:p>
          <w:p>
            <w:r>
              <w:rPr>
                <w:sz w:val="20"/>
              </w:rPr>
              <w:t>{{FINSI:MATERIEL-LISTE}}</w:t>
            </w:r>
          </w:p>
          <w:p>
            <w:r>
              <w:rPr>
                <w:sz w:val="20"/>
              </w:rPr>
              <w:t>{{SI:MATERIEL-TEXTE}}</w:t>
            </w:r>
          </w:p>
          <w:p>
            <w:r>
              <w:rPr>
                <w:sz w:val="20"/>
              </w:rPr>
              <w:t>{{B03-QT-09}}</w:t>
            </w:r>
          </w:p>
          <w:p>
            <w:r>
              <w:rPr>
                <w:sz w:val="20"/>
              </w:rPr>
              <w:t>{{FINSI:MATERIEL-TEXTE}}</w:t>
            </w:r>
          </w:p>
          <w:p>
            <w:r>
              <w:rPr>
                <w:sz w:val="20"/>
              </w:rPr>
              <w:t>(d) proposer un directeur de travaux ayant {{B03-QT-10}} ans d’expérience dans la réalisation de travaux de nature et de complexité comparables;</w:t>
            </w:r>
          </w:p>
          <w:p>
            <w:r>
              <w:rPr>
                <w:sz w:val="20"/>
              </w:rPr>
              <w:t>{{SI:PERSONNEL-CLE}}</w:t>
            </w:r>
          </w:p>
          <w:p>
            <w:r>
              <w:rPr>
                <w:sz w:val="20"/>
              </w:rPr>
              <w:t>(e) proposer le personnel clé suivant :</w:t>
            </w:r>
          </w:p>
          <w:p>
            <w:r>
              <w:rPr>
                <w:sz w:val="20"/>
              </w:rPr>
              <w:t>{{FINSI:PERSONNEL-CLE}}</w:t>
            </w:r>
          </w:p>
          <w:p>
            <w:r>
              <w:rPr>
                <w:sz w:val="20"/>
              </w:rPr>
              <w:t>{{SI:PERSONNEL-LISTE}}</w:t>
            </w:r>
          </w:p>
          <w:p>
            <w:r>
              <w:rPr>
                <w:sz w:val="20"/>
              </w:rPr>
              <w:t>{{MOYENS.personnel}}</w:t>
            </w:r>
          </w:p>
          <w:p>
            <w:r>
              <w:rPr>
                <w:sz w:val="20"/>
              </w:rPr>
              <w:t>{{FINSI:PERSONNEL-LISTE}}</w:t>
            </w:r>
          </w:p>
          <w:p>
            <w:r>
              <w:rPr>
                <w:sz w:val="20"/>
              </w:rPr>
              <w:t>{{SI:PERSONNEL-TEXTE}}</w:t>
            </w:r>
          </w:p>
          <w:p>
            <w:r>
              <w:rPr>
                <w:sz w:val="20"/>
              </w:rPr>
              <w:t>{{B03-QT-13}}</w:t>
            </w:r>
          </w:p>
          <w:p>
            <w:r>
              <w:rPr>
                <w:sz w:val="20"/>
              </w:rPr>
              <w:t>{{FINSI:PERSONNEL-TEXTE}}</w:t>
            </w:r>
          </w:p>
          <w:p>
            <w:r>
              <w:rPr>
                <w:sz w:val="20"/>
              </w:rPr>
              <w:t>{{SI:LIQUIDITE}}</w:t>
            </w:r>
          </w:p>
          <w:p>
            <w:r>
              <w:rPr>
                <w:sz w:val="20"/>
              </w:rPr>
              <w:t>(f) justifier d’une liquidité ou d’une ligne de crédit délivrée par une banque primaire, d’un montant minimum de : {{B03-QT-14.parLot}}</w:t>
            </w:r>
          </w:p>
          <w:p>
            <w:r>
              <w:rPr>
                <w:sz w:val="20"/>
              </w:rPr>
              <w:t>{{FINSI:LIQUIDITE}}</w:t>
            </w:r>
          </w:p>
          <w:p>
            <w:r>
              <w:rPr>
                <w:sz w:val="20"/>
              </w:rPr>
              <w:t>{{SI:LIQUIDITE-POURCENT}}</w:t>
            </w:r>
          </w:p>
          <w:p>
            <w:r>
              <w:rPr>
                <w:sz w:val="20"/>
              </w:rPr>
              <w:t>(f) justifier d’une liquidité ou d’une ligne de crédit délivrée par une banque primaire, d’un montant minimum égal à {{B03-QT-15.parLot}} du montant de son offre</w:t>
            </w:r>
          </w:p>
          <w:p>
            <w:r>
              <w:rPr>
                <w:sz w:val="20"/>
              </w:rPr>
              <w:t>{{FINSI:LIQUIDITE-POURCENT}}</w:t>
            </w:r>
          </w:p>
          <w:p>
            <w:r>
              <w:rPr>
                <w:sz w:val="20"/>
              </w:rPr>
              <w:t>{{SI:QUALIFICATIONS}}</w:t>
            </w:r>
          </w:p>
          <w:p>
            <w:r>
              <w:rPr>
                <w:sz w:val="20"/>
              </w:rPr>
              <w:t>{{B03-QT-06}}</w:t>
            </w:r>
          </w:p>
          <w:p>
            <w:r>
              <w:rPr>
                <w:sz w:val="20"/>
              </w:rPr>
              <w:t>{{FINSI:QUALIFICATIONS}}</w:t>
            </w:r>
          </w:p>
        </w:tc>
      </w:tr>
      <w:tr>
        <w:tc>
          <w:tcPr>
            <w:tcW w:type="pct" w:w="2500"/>
          </w:tcPr>
          <w:p>
            <w:r>
              <w:rPr>
                <w:sz w:val="20"/>
              </w:rPr>
              <w:t>{{SI:PREFERENCE}}</w:t>
            </w:r>
          </w:p>
        </w:tc>
        <w:tc>
          <w:tcPr>
            <w:tcW w:type="pct" w:w="2500"/>
          </w:tcPr>
          <w:p>
            <w:r>
              <w:rPr>
                <w:sz w:val="20"/>
              </w:rPr>
              <w:t/>
            </w:r>
          </w:p>
        </w:tc>
      </w:tr>
      <w:tr>
        <w:tc>
          <w:tcPr>
            <w:tcW w:type="pct" w:w="2500"/>
          </w:tcPr>
          <w:p>
            <w:r>
              <w:rPr>
                <w:sz w:val="20"/>
              </w:rPr>
              <w:t/>
            </w:r>
          </w:p>
        </w:tc>
        <w:tc>
          <w:tcPr>
            <w:tcW w:type="pct" w:w="2500"/>
          </w:tcPr>
          <w:p>
            <w:r>
              <w:rPr>
                <w:sz w:val="20"/>
              </w:rPr>
              <w:t>Les Candidats susceptibles de bénéficier de la préférence nationale prévue à l'article 9.5 des IC et des Présentes DPAO doivent produire les pièces justifiant leur éligibilité à cette préférence, prévues à l'article précité.</w:t>
            </w:r>
          </w:p>
        </w:tc>
      </w:tr>
      <w:tr>
        <w:tc>
          <w:tcPr>
            <w:tcW w:type="pct" w:w="2500"/>
          </w:tcPr>
          <w:p>
            <w:r>
              <w:rPr>
                <w:sz w:val="20"/>
              </w:rPr>
              <w:t>{{FINSI:PREFERENCE}}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
            </w:r>
          </w:p>
        </w:tc>
        <w:tc>
          <w:tcPr>
            <w:tcW w:type="pct" w:w="2500"/>
          </w:tcPr>
          <w:p>
            <w:r>
              <w:rPr>
                <w:sz w:val="20"/>
              </w:rPr>
              <w:t>Qualification des membres d'un groupement d'entreprises</w:t>
            </w:r>
          </w:p>
          <w:p>
            <w:r>
              <w:rPr>
                <w:sz w:val="20"/>
              </w:rPr>
              <w:t>{{SI:GROUPEMENT-LIBRE}}</w:t>
            </w:r>
          </w:p>
          <w:p>
            <w:r>
              <w:rPr>
                <w:sz w:val="20"/>
              </w:rPr>
              <w:t>Chacun des membres d'un groupement d'entreprises conjointes doit répondre aux conditions de qualification énoncées à la présente clause concernant le lot pour lequel il soumissionne.</w:t>
            </w:r>
          </w:p>
          <w:p>
            <w:r>
              <w:rPr>
                <w:sz w:val="20"/>
              </w:rPr>
              <w:t>Le mandataire doit satisfaire au moins aux conditions de qualifications suivants:</w:t>
            </w:r>
          </w:p>
          <w:p>
            <w:r>
              <w:rPr>
                <w:sz w:val="20"/>
              </w:rPr>
              <w:t>{{B03-GT-04}}</w:t>
            </w:r>
          </w:p>
          <w:p>
            <w:r>
              <w:rPr>
                <w:sz w:val="20"/>
              </w:rPr>
              <w:t>{{FINSI:GROUPEMENT-LIBRE}}</w:t>
            </w:r>
          </w:p>
          <w:p>
            <w:r>
              <w:rPr>
                <w:sz w:val="20"/>
              </w:rPr>
              <w:t>Dans le cas de groupements d'entreprises solidaires:</w:t>
            </w:r>
          </w:p>
          <w:p>
            <w:r>
              <w:rPr>
                <w:sz w:val="20"/>
              </w:rPr>
              <w:t>Les qualifications de chacun des membres du groupement sont ajoutées pour déterminer si le groupement de Candidats répond aux critères de qualification énoncés à la présente Clause.</w:t>
            </w:r>
          </w:p>
          <w:p>
            <w:r>
              <w:rPr>
                <w:sz w:val="20"/>
              </w:rPr>
              <w:t>de plus, chacun des membres du groupement doit satisfaire au moins aux conditions de qualifications suivants:</w:t>
            </w:r>
          </w:p>
          <w:p>
            <w:r>
              <w:rPr>
                <w:sz w:val="20"/>
              </w:rPr>
              <w:t>{{B03-GT-03}}</w:t>
            </w:r>
          </w:p>
          <w:p>
            <w:r>
              <w:rPr>
                <w:sz w:val="20"/>
              </w:rPr>
              <w:t>Le mandataire doit satisfaire au moins aux conditions de qualifications suivants:</w:t>
            </w:r>
          </w:p>
          <w:p>
            <w:r>
              <w:rPr>
                <w:sz w:val="20"/>
              </w:rPr>
              <w:t>{{B03-GT-05}}</w:t>
            </w:r>
          </w:p>
        </w:tc>
      </w:tr>
      <w:tr>
        <w:tc>
          <w:tcPr>
            <w:tcW w:type="pct" w:w="2500"/>
          </w:tcPr>
          <w:p>
            <w:r>
              <w:rPr>
                <w:sz w:val="20"/>
              </w:rPr>
              <w:t>{{FINSI:GROUPEMENT}}</w:t>
            </w:r>
          </w:p>
        </w:tc>
        <w:tc>
          <w:tcPr>
            <w:tcW w:type="pct" w:w="2500"/>
          </w:tcPr>
          <w:p>
            <w:r>
              <w:rPr>
                <w:sz w:val="20"/>
              </w:rPr>
              <w:t/>
            </w:r>
          </w:p>
        </w:tc>
      </w:tr>
      <w:tr>
        <w:tc>
          <w:tcPr>
            <w:tcW w:type="pct" w:w="2500"/>
          </w:tcPr>
          <w:p>
            <w:r>
              <w:rPr>
                <w:sz w:val="20"/>
              </w:rPr>
              <w:t>6.4. Délai de validité des offres</w:t>
            </w:r>
          </w:p>
        </w:tc>
        <w:tc>
          <w:tcPr>
            <w:tcW w:type="pct" w:w="2500"/>
          </w:tcPr>
          <w:p>
            <w:r>
              <w:rPr>
                <w:sz w:val="20"/>
              </w:rPr>
              <w:t>Le délai de validité des offres sera de {{B04-VO-01}} jours.</w:t>
            </w:r>
          </w:p>
        </w:tc>
      </w:tr>
      <w:tr>
        <w:tc>
          <w:tcPr>
            <w:tcW w:type="pct" w:w="2500"/>
          </w:tcPr>
          <w:p>
            <w:r>
              <w:rPr>
                <w:sz w:val="20"/>
              </w:rPr>
              <w:t>6.5.3.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6.6. Monnaie</w:t>
            </w:r>
          </w:p>
        </w:tc>
        <w:tc>
          <w:tcPr>
            <w:tcW w:type="pct" w:w="2500"/>
          </w:tcPr>
          <w:p>
            <w:r>
              <w:rPr>
                <w:sz w:val="20"/>
              </w:rPr>
              <w:t>{{SI:ARIARY}}</w:t>
            </w:r>
          </w:p>
          <w:p>
            <w:r>
              <w:rPr>
                <w:sz w:val="20"/>
              </w:rPr>
              <w:t>a) Les prix seront entièrement libellés dans la monnaie nationale l'Ariary et réglés dans cette monnaie.</w:t>
            </w:r>
          </w:p>
          <w:p>
            <w:r>
              <w:rPr>
                <w:sz w:val="20"/>
              </w:rPr>
              <w:t>{{FINSI:ARIARY}}</w:t>
            </w:r>
          </w:p>
          <w:p>
            <w:r>
              <w:rPr>
                <w:sz w:val="20"/>
              </w:rPr>
              <w:t>{{SI:DEVISES}}</w:t>
            </w:r>
          </w:p>
          <w:p>
            <w:r>
              <w:rPr>
                <w:sz w:val="20"/>
              </w:rPr>
              <w:t>c) Les prix pourront comporter une part libellé en monnaie nationale et une part libellé en monnaies étrangères.</w:t>
            </w:r>
          </w:p>
          <w:p>
            <w:r>
              <w:rPr>
                <w:sz w:val="20"/>
              </w:rPr>
              <w:t>La part libellé en monnaies étrangères sera destinée à couvrir les prix des intrants nécessaires aux Travaux que le Candidat compte se procurer en dehors de la République de Madagascar. Ils seront libellés en &lt;préciser la devise convertible&gt;</w:t>
            </w:r>
          </w:p>
          <w:p>
            <w:r>
              <w:rPr>
                <w:sz w:val="20"/>
              </w:rPr>
              <w:t>Tous les autres éléments du prix seront libellés et payables en monnaies nationale.</w:t>
            </w:r>
          </w:p>
          <w:p>
            <w:r>
              <w:rPr>
                <w:sz w:val="20"/>
              </w:rPr>
              <w:t>Le Maître de l’Ouvrage peut demander aux Candidats d’expliquer leurs besoins en monnaies nationale et étrangères et de justifier les montants en monnaies étrangères. A cette fin, un état détaillé de ses besoins en monnaies étrangères sera fourni par le Candidat.</w:t>
            </w:r>
          </w:p>
          <w:p>
            <w:r>
              <w:rPr>
                <w:sz w:val="20"/>
              </w:rPr>
              <w:t>{{FINSI:DEVISES}}</w:t>
            </w:r>
          </w:p>
        </w:tc>
      </w:tr>
      <w:tr>
        <w:tc>
          <w:tcPr>
            <w:tcW w:type="pct" w:w="2500"/>
          </w:tcPr>
          <w:p>
            <w:r>
              <w:rPr>
                <w:sz w:val="20"/>
              </w:rPr>
              <w:t>6.7.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suivantes :</w:t>
            </w:r>
          </w:p>
          <w:p>
            <w:r>
              <w:rPr>
                <w:sz w:val="20"/>
              </w:rPr>
              <w:t>{{SI:GARANTIE-BANCAIRE}}</w:t>
            </w:r>
          </w:p>
          <w:p>
            <w:r>
              <w:rPr>
                <w:sz w:val="20"/>
              </w:rPr>
              <w:t>- Soit une garantie bancaire</w:t>
            </w:r>
          </w:p>
          <w:p>
            <w:r>
              <w:rPr>
                <w:sz w:val="20"/>
              </w:rPr>
              <w:t>{{FINSI:GARANTIE-BANCAIRE}}</w:t>
            </w:r>
          </w:p>
          <w:p>
            <w:r>
              <w:rPr>
                <w:sz w:val="20"/>
              </w:rPr>
              <w:t>{{SI:GARANTIE-CAUTION}}</w:t>
            </w:r>
          </w:p>
          <w:p>
            <w:r>
              <w:rPr>
                <w:sz w:val="20"/>
              </w:rPr>
              <w:t>- Soit une caution personnelle et solidaire</w:t>
            </w:r>
          </w:p>
          <w:p>
            <w:r>
              <w:rPr>
                <w:sz w:val="20"/>
              </w:rPr>
              <w:t>{{FINSI:GARANTIE-CAUTION}}</w:t>
            </w:r>
          </w:p>
          <w:p>
            <w:r>
              <w:rPr>
                <w:sz w:val="20"/>
              </w:rPr>
              <w:t>{{SI:GARANTIE-CHEQUE}}</w:t>
            </w:r>
          </w:p>
          <w:p>
            <w:r>
              <w:rPr>
                <w:sz w:val="20"/>
              </w:rPr>
              <w:t>- Soit un chèque de banque libéllé au nom de {{B05-GQ-04}}</w:t>
            </w:r>
          </w:p>
          <w:p>
            <w:r>
              <w:rPr>
                <w:sz w:val="20"/>
              </w:rPr>
              <w:t>{{FINSI:GARANTIE-CHEQUE}}</w:t>
            </w:r>
          </w:p>
          <w:p>
            <w:r>
              <w:rPr>
                <w:sz w:val="20"/>
              </w:rPr>
              <w:t>Le montant de la garantie de soumission est de :</w:t>
            </w:r>
          </w:p>
          <w:p>
            <w:r>
              <w:rPr>
                <w:sz w:val="20"/>
              </w:rPr>
              <w:t>{{SI:GARANTIE-LOTS}}</w:t>
            </w:r>
          </w:p>
          <w:p>
            <w:r>
              <w:rPr>
                <w:sz w:val="20"/>
              </w:rPr>
              <w:t>{{B05-GQ-03.parLot}}.</w:t>
            </w:r>
          </w:p>
          <w:p>
            <w:r>
              <w:rPr>
                <w:sz w:val="20"/>
              </w:rPr>
              <w:t>{{FINSI:GARANTIE-LOTS}}</w:t>
            </w:r>
          </w:p>
          <w:p>
            <w:r>
              <w:rPr>
                <w:sz w:val="20"/>
              </w:rPr>
              <w:t>{{SI:GARANTIE-UNIQUE}}</w:t>
            </w:r>
          </w:p>
          <w:p>
            <w:r>
              <w:rPr>
                <w:sz w:val="20"/>
              </w:rPr>
              <w:t>{{B05-GQ-03.lettres}} ({{B05-GQ-03}}).</w:t>
            </w:r>
          </w:p>
          <w:p>
            <w:r>
              <w:rPr>
                <w:sz w:val="20"/>
              </w:rPr>
              <w:t>{{FINSI:GARANTIE-UNIQUE}}</w:t>
            </w:r>
          </w:p>
          <w:p>
            <w:r>
              <w:rPr>
                <w:sz w:val="20"/>
              </w:rPr>
              <w:t>{{FINSI:GARANTIE}}</w:t>
            </w:r>
          </w:p>
        </w:tc>
      </w:tr>
      <w:tr>
        <w:tc>
          <w:tcPr>
            <w:tcW w:type="pct" w:w="2500"/>
          </w:tcPr>
          <w:p>
            <w:r>
              <w:rPr>
                <w:sz w:val="20"/>
              </w:rPr>
              <w:t>{{SI:LANGUE}}</w:t>
            </w:r>
          </w:p>
        </w:tc>
        <w:tc>
          <w:tcPr>
            <w:tcW w:type="pct" w:w="2500"/>
          </w:tcPr>
          <w:p>
            <w:r>
              <w:rPr>
                <w:sz w:val="20"/>
              </w:rPr>
              <w:t/>
            </w:r>
          </w:p>
        </w:tc>
      </w:tr>
      <w:tr>
        <w:tc>
          <w:tcPr>
            <w:tcW w:type="pct" w:w="2500"/>
          </w:tcPr>
          <w:p>
            <w:r>
              <w:rPr>
                <w:sz w:val="20"/>
              </w:rPr>
              <w:t>6.8. Langue</w:t>
            </w:r>
          </w:p>
        </w:tc>
        <w:tc>
          <w:tcPr>
            <w:tcW w:type="pct" w:w="2500"/>
          </w:tcPr>
          <w:p>
            <w:r>
              <w:rPr>
                <w:sz w:val="20"/>
              </w:rPr>
              <w:t>La langue de l'offre est le français ou {{B04-LG-01}}</w:t>
            </w:r>
          </w:p>
        </w:tc>
      </w:tr>
      <w:tr>
        <w:tc>
          <w:tcPr>
            <w:tcW w:type="pct" w:w="2500"/>
          </w:tcPr>
          <w:p>
            <w:r>
              <w:rPr>
                <w:sz w:val="20"/>
              </w:rPr>
              <w:t>{{FINSI:LANGUE}}</w:t>
            </w:r>
          </w:p>
        </w:tc>
        <w:tc>
          <w:tcPr>
            <w:tcW w:type="pct" w:w="2500"/>
          </w:tcPr>
          <w:p>
            <w:r>
              <w:rPr>
                <w:sz w:val="20"/>
              </w:rPr>
              <w:t/>
            </w:r>
          </w:p>
        </w:tc>
      </w:tr>
      <w:tr>
        <w:tc>
          <w:tcPr>
            <w:tcW w:type="pct" w:w="2500"/>
          </w:tcPr>
          <w:p>
            <w:r>
              <w:rPr>
                <w:sz w:val="20"/>
              </w:rPr>
              <w:t>6.9. - Réunion préparatoire et visite des lieux</w:t>
            </w:r>
          </w:p>
          <w:p>
            <w:r>
              <w:rPr>
                <w:sz w:val="20"/>
              </w:rPr>
              <w:t>6.9.1 Réunion préparatoire</w:t>
            </w:r>
          </w:p>
          <w:p>
            <w:r>
              <w:rPr>
                <w:sz w:val="20"/>
              </w:rPr>
              <w:t>6.9.2 Visite des lieux</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{{B04-RP-02}}</w:t>
            </w:r>
          </w:p>
          <w:p>
            <w:r>
              <w:rPr>
                <w:sz w:val="20"/>
              </w:rPr>
              <w:t>{{FINSI:REUNION-OUI}}</w:t>
            </w:r>
          </w:p>
          <w:p>
            <w:r>
              <w:rPr>
                <w:sz w:val="20"/>
              </w:rPr>
              <w:t>{{B04-VL-01}}</w:t>
            </w:r>
          </w:p>
          <w:p>
            <w:r>
              <w:rPr>
                <w:sz w:val="20"/>
              </w:rPr>
              <w:t>{{SI:VISITE-OBLIGATOIRE}}</w:t>
            </w:r>
          </w:p>
          <w:p>
            <w:r>
              <w:rPr>
                <w:sz w:val="20"/>
              </w:rPr>
              <w:t>une visite des lieux obligatoire sera organisée sous la conduite de l’Autorité Contractante aux lieux, date et heures indiquées ci-dessus:</w:t>
            </w:r>
          </w:p>
          <w:p>
            <w:r>
              <w:rPr>
                <w:sz w:val="20"/>
              </w:rPr>
              <w:t>Les Candidats ou leurs représentants sont tenus d’y participer à leurs propres frais pour leur permettre de se rendre compte sur place de l’importance, ainsi que des conditions d’exécution des travaux.</w:t>
            </w:r>
          </w:p>
          <w:p>
            <w:r>
              <w:rPr>
                <w:sz w:val="20"/>
              </w:rPr>
              <w:t>A l’issue de cette visite, un certificat de visite de lieux sera délivré à chaque Candidat présent. Ce certificat sera à joindre dans l’offre</w:t>
            </w:r>
          </w:p>
          <w:p>
            <w:r>
              <w:rPr>
                <w:sz w:val="20"/>
              </w:rPr>
              <w:t>{{FINSI:VISITE-OBLIGATOIRE}}</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{{B04-FP-01}} copie(s)</w:t>
            </w:r>
          </w:p>
          <w:p>
            <w:r>
              <w:rPr>
                <w:sz w:val="20"/>
              </w:rPr>
              <w:t>Les enveloppes extérieure et intérieure devront comporter les autres identifications suivantes :</w:t>
            </w:r>
          </w:p>
          <w:p>
            <w:r>
              <w:rPr>
                <w:sz w:val="20"/>
              </w:rPr>
              <w:t>{{B04-FP-02}}</w:t>
            </w:r>
          </w:p>
          <w:p>
            <w:r>
              <w:rPr>
                <w:sz w:val="20"/>
              </w:rPr>
              <w:t>Le nom et l’adresse du Maître de l’ouvrage : {{B01-AC-01}}, {{B01-AC-02}}</w:t>
            </w:r>
          </w:p>
          <w:p>
            <w:r>
              <w:rPr>
                <w:sz w:val="20"/>
              </w:rPr>
              <w:t>- La référence du présent Appel d’Offres</w:t>
            </w:r>
          </w:p>
          <w:p>
            <w:r>
              <w:rPr>
                <w:sz w:val="20"/>
              </w:rPr>
              <w:t>- La mention « NE PAS OUVRIR AVANT LA DATE ET L’HEURE D’OUVERTURE DES PLIS »,</w:t>
            </w:r>
          </w:p>
          <w:p>
            <w:r>
              <w:rPr>
                <w:sz w:val="20"/>
              </w:rPr>
              <w:t>{{SI:ALLOTI}}</w:t>
            </w:r>
          </w:p>
          <w:p>
            <w:r>
              <w:rPr>
                <w:sz w:val="20"/>
              </w:rPr>
              <w:t>- la référence et le numéro du lot auquel se rapporte l’offre</w:t>
            </w:r>
          </w:p>
          <w:p>
            <w:r>
              <w:rPr>
                <w:sz w:val="20"/>
              </w:rPr>
              <w:t>{{FINSI:ALLOTI}}</w:t>
            </w:r>
          </w:p>
          <w:p>
            <w:r>
              <w:rPr>
                <w:sz w:val="20"/>
              </w:rPr>
              <w:t>à l’exclusion de toute mention permettant d’identifier le candidat pour l’enveloppe extérieure</w:t>
            </w:r>
          </w:p>
        </w:tc>
      </w:tr>
      <w:tr>
        <w:tc>
          <w:tcPr>
            <w:tcW w:type="pct" w:w="2500"/>
          </w:tcPr>
          <w:p>
            <w:r>
              <w:rPr>
                <w:sz w:val="20"/>
              </w:rPr>
              <w:t>7.2. Lieu, date et heure, de la remise des offres</w:t>
            </w:r>
          </w:p>
        </w:tc>
        <w:tc>
          <w:tcPr>
            <w:tcW w:type="pct" w:w="2500"/>
          </w:tcPr>
          <w:p>
            <w:r>
              <w:rPr>
                <w:sz w:val="20"/>
              </w:rPr>
              <w:t>Aux fins de remise des offres l’adresse du Maître de l'Ouvrage est la suivante :</w:t>
            </w:r>
          </w:p>
          <w:p>
            <w:r>
              <w:rPr>
                <w:sz w:val="20"/>
              </w:rPr>
              <w:t>Attention : {{B01-AC-05}}</w:t>
            </w:r>
          </w:p>
          <w:p>
            <w:r>
              <w:rPr>
                <w:sz w:val="20"/>
              </w:rPr>
              <w:t>Lieu :Adresse: {{B01-AC-02}}</w:t>
            </w:r>
          </w:p>
          <w:p>
            <w:r>
              <w:rPr>
                <w:sz w:val="20"/>
              </w:rPr>
              <w:t>Les date et heure limites de remise des offres sont les suivantes :</w:t>
            </w:r>
          </w:p>
          <w:p>
            <w:r>
              <w:rPr>
                <w:sz w:val="20"/>
              </w:rPr>
              <w:t>Date : {{B04-OV-02}}</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{{B04-OV-01}}</w:t>
            </w:r>
          </w:p>
          <w:p>
            <w:r>
              <w:rPr>
                <w:sz w:val="20"/>
              </w:rPr>
              <w:t>Date : Le même jour que la date limite fixée pour la remise des offres.</w:t>
            </w:r>
          </w:p>
          <w:p>
            <w:r>
              <w:rPr>
                <w:sz w:val="20"/>
              </w:rPr>
              <w:t>Heure : {{B04-OV-02.heure}}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le Maître de l'Ouvrage ou La PRMP</w:t>
            </w:r>
          </w:p>
        </w:tc>
        <w:tc>
          <w:tcPr>
            <w:tcW w:type="pct" w:w="2500"/>
          </w:tcPr>
          <w:p>
            <w:r>
              <w:rPr>
                <w:sz w:val="20"/>
              </w:rPr>
              <w:t>Les Candidats devront répondre aux demandes d'éclaircissements de la PRMP dans un délai de:</w:t>
            </w:r>
          </w:p>
          <w:p>
            <w:r>
              <w:rPr>
                <w:sz w:val="20"/>
              </w:rPr>
              <w:t>{{B06-RC-01}}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{{SI:OFFRES-ANORMALES}}</w:t>
            </w:r>
          </w:p>
        </w:tc>
        <w:tc>
          <w:tcPr>
            <w:tcW w:type="pct" w:w="2500"/>
          </w:tcPr>
          <w:p>
            <w:r>
              <w:rPr>
                <w:sz w:val="20"/>
              </w:rPr>
              <w:t/>
            </w:r>
          </w:p>
        </w:tc>
      </w:tr>
      <w:tr>
        <w:tc>
          <w:tcPr>
            <w:tcW w:type="pct" w:w="2500"/>
          </w:tcPr>
          <w:p>
            <w:r>
              <w:rPr>
                <w:sz w:val="20"/>
              </w:rPr>
              <w:t>9.4.5. Offres anormalement basses ou anormalement hautes</w:t>
            </w:r>
          </w:p>
        </w:tc>
        <w:tc>
          <w:tcPr>
            <w:tcW w:type="pct" w:w="2500"/>
          </w:tcPr>
          <w:p>
            <w:r>
              <w:rPr>
                <w:sz w:val="20"/>
              </w:rPr>
              <w:t>{{B06-EO-07}}</w:t>
            </w:r>
          </w:p>
        </w:tc>
      </w:tr>
      <w:tr>
        <w:tc>
          <w:tcPr>
            <w:tcW w:type="pct" w:w="2500"/>
          </w:tcPr>
          <w:p>
            <w:r>
              <w:rPr>
                <w:sz w:val="20"/>
              </w:rPr>
              <w:t>{{FINSI:OFFRES-ANORMALES}}</w:t>
            </w:r>
          </w:p>
        </w:tc>
        <w:tc>
          <w:tcPr>
            <w:tcW w:type="pct" w:w="2500"/>
          </w:tcPr>
          <w:p>
            <w:r>
              <w:rPr>
                <w:sz w:val="20"/>
              </w:rPr>
              <w:t/>
            </w:r>
          </w:p>
        </w:tc>
      </w:tr>
      <w:tr>
        <w:tc>
          <w:tcPr>
            <w:tcW w:type="pct" w:w="2500"/>
          </w:tcPr>
          <w:p>
            <w:r>
              <w:rPr>
                <w:sz w:val="20"/>
              </w:rPr>
              <w:t>9.5. Marge de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aux candidats nationaux une préférence conformément à la clause 9.5. des IC de {{B06-PN-02.chiffres}} %</w:t>
            </w:r>
          </w:p>
          <w:p>
            <w:r>
              <w:rPr>
                <w:sz w:val="20"/>
              </w:rPr>
              <w:t>{{FINSI:PREFERENCE}}</w:t>
            </w:r>
          </w:p>
        </w:tc>
      </w:tr>
      <w:tr>
        <w:tc>
          <w:tcPr>
            <w:tcW w:type="pct" w:w="2500"/>
          </w:tcPr>
          <w:p>
            <w:r>
              <w:rPr>
                <w:sz w:val="20"/>
              </w:rPr>
              <w:t>11. Délai d’exécution</w:t>
            </w:r>
          </w:p>
        </w:tc>
        <w:tc>
          <w:tcPr>
            <w:tcW w:type="pct" w:w="2500"/>
          </w:tcPr>
          <w:p>
            <w:r>
              <w:rPr>
                <w:sz w:val="20"/>
              </w:rPr>
              <w:t>Le délai d’exécution proposé ne doit pas dépasser {{B09-DL-01.parLot}} à compter du lendemain de la date de notification de l’OS de commencer les travaux</w:t>
            </w:r>
          </w:p>
          <w:p>
            <w:r>
              <w:rPr>
                <w:sz w:val="20"/>
              </w:rPr>
              <w:t>{{SI:NON-CUMUL}}</w:t>
            </w:r>
          </w:p>
          <w:p>
            <w:r>
              <w:rPr>
                <w:sz w:val="20"/>
              </w:rPr>
              <w:t>En cas d’attribution de deux ou plusieurs lots à un Candidat, les délais ne sont pas cumulables</w:t>
            </w:r>
          </w:p>
          <w:p>
            <w:r>
              <w:rPr>
                <w:sz w:val="20"/>
              </w:rPr>
              <w:t>{{FINSI:NON-CUMUL}}</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2026-10-03T04:07:24Z</dcterms:created>
  <dc:creator>Apache POI</dc:creator>
</cp:coreProperties>
</file>