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1.3. DONNEES PARTICULIERES DES INSTRUCTIONS AUX CANDIDATS</w:t>
      </w:r>
    </w:p>
    <w:p>
      <w:pPr>
        <w:spacing w:after="120"/>
        <w:jc w:val="both"/>
      </w:pPr>
      <w:r>
        <w:rPr>
          <w:b w:val="off"/>
          <w:sz w:val="22"/>
        </w:rPr>
        <w:t>Les Données Particulières qui suivent complètent, précisent ou modifient les clauses des Instructions aux Candidats (IC). En cas de conflit, les clauses ci-dessous prévalent sur celles des IC.</w:t>
      </w:r>
    </w:p>
    <w:tbl>
      <w:tblPr>
        <w:tblW w:w="5000" w:type="pct"/>
        <w:tblBorders>
          <w:top w:val="single"/>
          <w:left w:val="single"/>
          <w:bottom w:val="single"/>
          <w:right w:val="single"/>
          <w:insideH w:val="single"/>
          <w:insideV w:val="single"/>
        </w:tblBorders>
      </w:tblPr>
      <w:tr>
        <w:tc>
          <w:tcPr>
            <w:tcW w:type="pct" w:w="2500"/>
          </w:tcPr>
          <w:p>
            <w:r>
              <w:rPr>
                <w:sz w:val="20"/>
              </w:rPr>
              <w:t>Clause des Instructions aux Candidats (IC)</w:t>
            </w:r>
          </w:p>
        </w:tc>
        <w:tc>
          <w:tcPr>
            <w:tcW w:type="pct" w:w="2500"/>
          </w:tcPr>
          <w:p>
            <w:r>
              <w:rPr>
                <w:sz w:val="20"/>
              </w:rPr>
              <w:t>Données particulières</w:t>
            </w:r>
          </w:p>
        </w:tc>
      </w:tr>
      <w:tr>
        <w:tc>
          <w:tcPr>
            <w:tcW w:type="pct" w:w="2500"/>
          </w:tcPr>
          <w:p>
            <w:r>
              <w:rPr>
                <w:sz w:val="20"/>
              </w:rPr>
              <w:t>1. Client et objet de la Consultation.</w:t>
            </w:r>
          </w:p>
        </w:tc>
        <w:tc>
          <w:tcPr>
            <w:tcW w:type="pct" w:w="2500"/>
          </w:tcPr>
          <w:p>
            <w:r>
              <w:rPr>
                <w:sz w:val="20"/>
              </w:rPr>
              <w:t>Client:</w:t>
            </w:r>
          </w:p>
          <w:p>
            <w:r>
              <w:rPr>
                <w:sz w:val="20"/>
              </w:rPr>
              <w:t>{{B02-CL-01}}</w:t>
            </w:r>
          </w:p>
          <w:p>
            <w:r>
              <w:rPr>
                <w:sz w:val="20"/>
              </w:rPr>
              <w:t>Marché</w:t>
            </w:r>
          </w:p>
          <w:p>
            <w:r>
              <w:rPr>
                <w:sz w:val="20"/>
              </w:rPr>
              <w:t>{{SI:PROJET}}</w:t>
            </w:r>
          </w:p>
          <w:p>
            <w:r>
              <w:rPr>
                <w:sz w:val="20"/>
              </w:rPr>
              <w:t>Le marché, objet de la présente Demande de Consultation s'inscrit dans {{B02-OP-01}}. Il a pour objet :</w:t>
            </w:r>
          </w:p>
          <w:p>
            <w:r>
              <w:rPr>
                <w:sz w:val="20"/>
              </w:rPr>
              <w:t>{{FINSI:PROJET}}</w:t>
            </w:r>
          </w:p>
          <w:p>
            <w:r>
              <w:rPr>
                <w:sz w:val="20"/>
              </w:rPr>
              <w:t>{{SI:SANS-PROJET}}</w:t>
            </w:r>
          </w:p>
          <w:p>
            <w:r>
              <w:rPr>
                <w:sz w:val="20"/>
              </w:rPr>
              <w:t>Le marché, objet de la présente Demande de Consultation a pour objet :</w:t>
            </w:r>
          </w:p>
          <w:p>
            <w:r>
              <w:rPr>
                <w:sz w:val="20"/>
              </w:rPr>
              <w:t>{{FINSI:SANS-PROJET}}</w:t>
            </w:r>
          </w:p>
          <w:p>
            <w:r>
              <w:rPr>
                <w:sz w:val="20"/>
              </w:rPr>
              <w:t>{{B02-OP-02}}</w:t>
            </w:r>
          </w:p>
          <w:p>
            <w:r>
              <w:rPr>
                <w:sz w:val="20"/>
              </w:rPr>
              <w:t>La date prévue pour le début des prestations est le {{B02-OP-03}}</w:t>
            </w:r>
          </w:p>
          <w:p>
            <w:r>
              <w:rPr>
                <w:sz w:val="20"/>
              </w:rPr>
              <w:t>Mode de sélection:</w:t>
            </w:r>
          </w:p>
          <w:p>
            <w:r>
              <w:rPr>
                <w:sz w:val="20"/>
              </w:rPr>
              <w:t>Le Consultant sera sélectionné sur la base</w:t>
            </w:r>
          </w:p>
          <w:p>
            <w:r>
              <w:rPr>
                <w:sz w:val="20"/>
              </w:rPr>
              <w:t>{{SI:SFQC}}</w:t>
            </w:r>
          </w:p>
          <w:p>
            <w:r>
              <w:rPr>
                <w:sz w:val="20"/>
              </w:rPr>
              <w:t>de la qualité technique de la proposition, de l’expérience du candidat, de la qualification des experts et de la méthode de travail proposée ainsi que du montant de la proposition,</w:t>
            </w:r>
          </w:p>
          <w:p>
            <w:r>
              <w:rPr>
                <w:sz w:val="20"/>
              </w:rPr>
              <w:t>{{FINSI:SFQC}}</w:t>
            </w:r>
          </w:p>
          <w:p>
            <w:r>
              <w:rPr>
                <w:sz w:val="20"/>
              </w:rPr>
              <w:t>{{SI:BUDGET}}</w:t>
            </w:r>
          </w:p>
          <w:p>
            <w:r>
              <w:rPr>
                <w:sz w:val="20"/>
              </w:rPr>
              <w:t>d’un budget prédéterminé dont le candidat doit proposer la meilleure utilisation possible,</w:t>
            </w:r>
          </w:p>
          <w:p>
            <w:r>
              <w:rPr>
                <w:sz w:val="20"/>
              </w:rPr>
              <w:t>{{FINSI:BUDGET}}</w:t>
            </w:r>
          </w:p>
          <w:p>
            <w:r>
              <w:rPr>
                <w:sz w:val="20"/>
              </w:rPr>
              <w:t>{{SI:MOINDRE-COUT}}</w:t>
            </w:r>
          </w:p>
          <w:p>
            <w:r>
              <w:rPr>
                <w:sz w:val="20"/>
              </w:rPr>
              <w:t>de la meilleure proposition financière soumise par les candidats ayant obtenu une note technique minimum.</w:t>
            </w:r>
          </w:p>
          <w:p>
            <w:r>
              <w:rPr>
                <w:sz w:val="20"/>
              </w:rPr>
              <w:t>{{FINSI:MOINDRE-COUT}}</w:t>
            </w:r>
          </w:p>
          <w:p>
            <w:r>
              <w:rPr>
                <w:sz w:val="20"/>
              </w:rPr>
              <w:t>{{SI:QUALITE-SEULE}}</w:t>
            </w:r>
          </w:p>
          <w:p>
            <w:r>
              <w:rPr>
                <w:sz w:val="20"/>
              </w:rPr>
              <w:t>exclusivement de la qualité technique</w:t>
            </w:r>
          </w:p>
          <w:p>
            <w:r>
              <w:rPr>
                <w:sz w:val="20"/>
              </w:rPr>
              <w:t>{{FINSI:QUALITE-SEULE}}</w:t>
            </w:r>
          </w:p>
        </w:tc>
      </w:tr>
      <w:tr>
        <w:tc>
          <w:tcPr>
            <w:tcW w:type="pct" w:w="2500"/>
          </w:tcPr>
          <w:p>
            <w:r>
              <w:rPr>
                <w:sz w:val="20"/>
              </w:rPr>
              <w:t>2. Groupements et sous - traitance</w:t>
            </w:r>
          </w:p>
        </w:tc>
        <w:tc>
          <w:tcPr>
            <w:tcW w:type="pct" w:w="2500"/>
          </w:tcPr>
          <w:p>
            <w:r>
              <w:rPr>
                <w:sz w:val="20"/>
              </w:rPr>
              <w:t>{{SI:ASSOCIATIONS-NON}}</w:t>
            </w:r>
          </w:p>
          <w:p>
            <w:r>
              <w:rPr>
                <w:sz w:val="20"/>
              </w:rPr>
              <w:t>Les groupements et accords de sous - traitance entre Candidats figurant sur la liste restreinte ne sont pas autorisés.</w:t>
            </w:r>
          </w:p>
          <w:p>
            <w:r>
              <w:rPr>
                <w:sz w:val="20"/>
              </w:rPr>
              <w:t>{{FINSI:ASSOCIATIONS-NON}}</w:t>
            </w:r>
          </w:p>
          <w:p>
            <w:r>
              <w:rPr>
                <w:sz w:val="20"/>
              </w:rPr>
              <w:t>{{SI:ASSOCIATIONS-OUI}}</w:t>
            </w:r>
          </w:p>
          <w:p>
            <w:r>
              <w:rPr>
                <w:sz w:val="20"/>
              </w:rPr>
              <w:t>Les groupements et accords de sous-traitance entre Candidats figurant sur la liste restreinte sont autorisés.</w:t>
            </w:r>
          </w:p>
          <w:p>
            <w:r>
              <w:rPr>
                <w:sz w:val="20"/>
              </w:rPr>
              <w:t>{{FINSI:ASSOCIATIONS-OUI}}</w:t>
            </w:r>
          </w:p>
        </w:tc>
      </w:tr>
      <w:tr>
        <w:tc>
          <w:tcPr>
            <w:tcW w:type="pct" w:w="2500"/>
          </w:tcPr>
          <w:p>
            <w:r>
              <w:rPr>
                <w:sz w:val="20"/>
              </w:rPr>
              <w:t>5. – Dossier de Consultation – Demandes d'éclaircissement – Modifications</w:t>
            </w:r>
          </w:p>
        </w:tc>
        <w:tc>
          <w:tcPr>
            <w:tcW w:type="pct" w:w="2500"/>
          </w:tcPr>
          <w:p>
            <w:r>
              <w:rPr>
                <w:sz w:val="20"/>
              </w:rPr>
              <w:t/>
            </w:r>
          </w:p>
        </w:tc>
      </w:tr>
      <w:tr>
        <w:tc>
          <w:tcPr>
            <w:tcW w:type="pct" w:w="2500"/>
          </w:tcPr>
          <w:p>
            <w:r>
              <w:rPr>
                <w:sz w:val="20"/>
              </w:rPr>
              <w:t>5.2. Demande d’éclaircissements</w:t>
            </w:r>
          </w:p>
        </w:tc>
        <w:tc>
          <w:tcPr>
            <w:tcW w:type="pct" w:w="2500"/>
          </w:tcPr>
          <w:p>
            <w:r>
              <w:rPr>
                <w:sz w:val="20"/>
              </w:rPr>
              <w:t>Adresse de la PRMP</w:t>
            </w:r>
          </w:p>
          <w:p>
            <w:r>
              <w:rPr>
                <w:sz w:val="20"/>
              </w:rPr>
              <w:t>Afin d’obtenir des éclaircissements uniquement, l’adresse de la Personne Responsable des Marchés Publics est la suivante :</w:t>
            </w:r>
          </w:p>
          <w:p>
            <w:r>
              <w:rPr>
                <w:sz w:val="20"/>
              </w:rPr>
              <w:t>{{B04-EP-01}}</w:t>
            </w:r>
          </w:p>
          <w:p>
            <w:r>
              <w:rPr>
                <w:sz w:val="20"/>
              </w:rPr>
              <w:t>Adresse électronique : {{B04-EP-02}}</w:t>
            </w:r>
          </w:p>
          <w:p>
            <w:r>
              <w:rPr>
                <w:sz w:val="20"/>
              </w:rPr>
              <w:t>Délai pour l'envoi des demandes par les Candidats</w:t>
            </w:r>
          </w:p>
          <w:p>
            <w:r>
              <w:rPr>
                <w:sz w:val="20"/>
              </w:rPr>
              <w:t>{{B04-EP-03}} jours avant la date limite fixée pour la remise des Propositions figurant à la clause 8.2 ci-dessous.</w:t>
            </w:r>
          </w:p>
          <w:p>
            <w:r>
              <w:rPr>
                <w:sz w:val="20"/>
              </w:rPr>
              <w:t>Délai pour la réponse du représentant de la PRMP</w:t>
            </w:r>
          </w:p>
          <w:p>
            <w:r>
              <w:rPr>
                <w:sz w:val="20"/>
              </w:rPr>
              <w:t>{{B04-EP-04}} jours avant la date limite fixée pour la remise des Propositions figurant à la clause 8.2 ci-dessous.</w:t>
            </w:r>
          </w:p>
        </w:tc>
      </w:tr>
      <w:tr>
        <w:tc>
          <w:tcPr>
            <w:tcW w:type="pct" w:w="2500"/>
          </w:tcPr>
          <w:p>
            <w:r>
              <w:rPr>
                <w:sz w:val="20"/>
              </w:rPr>
              <w:t>6. Assistance du client</w:t>
            </w:r>
          </w:p>
        </w:tc>
        <w:tc>
          <w:tcPr>
            <w:tcW w:type="pct" w:w="2500"/>
          </w:tcPr>
          <w:p>
            <w:r>
              <w:rPr>
                <w:sz w:val="20"/>
              </w:rPr>
              <w:t>Le client fournit les intrants suivants : {{B04-AI-01}}</w:t>
            </w:r>
          </w:p>
        </w:tc>
      </w:tr>
      <w:tr>
        <w:tc>
          <w:tcPr>
            <w:tcW w:type="pct" w:w="2500"/>
          </w:tcPr>
          <w:p>
            <w:r>
              <w:rPr>
                <w:sz w:val="20"/>
              </w:rPr>
              <w:t>7 - Préparation des Propositions</w:t>
            </w:r>
          </w:p>
        </w:tc>
        <w:tc>
          <w:tcPr>
            <w:tcW w:type="pct" w:w="2500"/>
          </w:tcPr>
          <w:p>
            <w:r>
              <w:rPr>
                <w:sz w:val="20"/>
              </w:rPr>
              <w:t/>
            </w:r>
          </w:p>
        </w:tc>
      </w:tr>
      <w:tr>
        <w:tc>
          <w:tcPr>
            <w:tcW w:type="pct" w:w="2500"/>
          </w:tcPr>
          <w:p>
            <w:r>
              <w:rPr>
                <w:sz w:val="20"/>
              </w:rPr>
              <w:t>7.2. Contenu des Propositions</w:t>
            </w:r>
          </w:p>
        </w:tc>
        <w:tc>
          <w:tcPr>
            <w:tcW w:type="pct" w:w="2500"/>
          </w:tcPr>
          <w:p>
            <w:r>
              <w:rPr>
                <w:sz w:val="20"/>
              </w:rPr>
              <w:t>Les Candidats remettent:</w:t>
            </w:r>
          </w:p>
          <w:p>
            <w:r>
              <w:rPr>
                <w:sz w:val="20"/>
              </w:rPr>
              <w:t>{{SI:DEUX-ENVELOPPES}}</w:t>
            </w:r>
          </w:p>
          <w:p>
            <w:r>
              <w:rPr>
                <w:sz w:val="20"/>
              </w:rPr>
              <w:t>une Proposition technique et une Proposition financière sous enveloppes distinctes, comme indiqué à la clause 8.1 des IC.</w:t>
            </w:r>
          </w:p>
          <w:p>
            <w:r>
              <w:rPr>
                <w:sz w:val="20"/>
              </w:rPr>
              <w:t>{{FINSI:DEUX-ENVELOPPES}}</w:t>
            </w:r>
          </w:p>
          <w:p>
            <w:r>
              <w:rPr>
                <w:sz w:val="20"/>
              </w:rPr>
              <w:t>{{SI:TECHNIQUE-SEULE}}</w:t>
            </w:r>
          </w:p>
          <w:p>
            <w:r>
              <w:rPr>
                <w:sz w:val="20"/>
              </w:rPr>
              <w:t>uniquement une proposition technique.</w:t>
            </w:r>
          </w:p>
          <w:p>
            <w:r>
              <w:rPr>
                <w:sz w:val="20"/>
              </w:rPr>
              <w:t>{{FINSI:TECHNIQUE-SEULE}}</w:t>
            </w:r>
          </w:p>
        </w:tc>
      </w:tr>
      <w:tr>
        <w:tc>
          <w:tcPr>
            <w:tcW w:type="pct" w:w="2500"/>
          </w:tcPr>
          <w:p>
            <w:r>
              <w:rPr>
                <w:sz w:val="20"/>
              </w:rPr>
              <w:t>7.2.1. Proposition Technique</w:t>
            </w:r>
          </w:p>
        </w:tc>
        <w:tc>
          <w:tcPr>
            <w:tcW w:type="pct" w:w="2500"/>
          </w:tcPr>
          <w:p>
            <w:r>
              <w:rPr>
                <w:sz w:val="20"/>
              </w:rPr>
              <w:t>Qualifications</w:t>
            </w:r>
          </w:p>
          <w:p>
            <w:r>
              <w:rPr>
                <w:sz w:val="20"/>
              </w:rPr>
              <w:t>Les Candidats joignent à leur Proposition technique les fiches de renseignements suivantes, selon les formulaires figurant à la section 1.4 "Formulaires –types de Soumission":</w:t>
            </w:r>
          </w:p>
          <w:p>
            <w:r>
              <w:rPr>
                <w:sz w:val="20"/>
              </w:rPr>
              <w:t>1° Une fiche de renseignements relative à son identification et à sa situation juridique (formulaire PT2);</w:t>
            </w:r>
          </w:p>
          <w:p>
            <w:r>
              <w:rPr>
                <w:sz w:val="20"/>
              </w:rPr>
              <w:t>2° Une fiche de renseignements relative à ses capacités professionnelles (formulaire PT3);;</w:t>
            </w:r>
          </w:p>
          <w:p>
            <w:r>
              <w:rPr>
                <w:sz w:val="20"/>
              </w:rPr>
              <w:t>Description de la Proposition technique</w:t>
            </w:r>
          </w:p>
          <w:p>
            <w:r>
              <w:rPr>
                <w:sz w:val="20"/>
              </w:rPr>
              <w:t>La description de la Proposition technique doit comporter:</w:t>
            </w:r>
          </w:p>
          <w:p>
            <w:r>
              <w:rPr>
                <w:sz w:val="20"/>
              </w:rPr>
              <w:t>La composition de l'équipe proposée, par spécialité ainsi que la poste et les tâches qui seront confiées à chacun de ses membres conformément au formulaire PT4.</w:t>
            </w:r>
          </w:p>
          <w:p>
            <w:r>
              <w:rPr>
                <w:sz w:val="20"/>
              </w:rPr>
              <w:t>Les curriculum vitae des membres du Personnel Clé établis sur la base des Formulaire PT5</w:t>
            </w:r>
          </w:p>
          <w:p>
            <w:r>
              <w:rPr>
                <w:sz w:val="20"/>
              </w:rPr>
              <w:t>La Description de la méthodologie, de la conception et du plan de travail proposés pour réaliser les Prestations.</w:t>
            </w:r>
          </w:p>
          <w:p>
            <w:r>
              <w:rPr>
                <w:sz w:val="20"/>
              </w:rPr>
              <w:t>{{SI:POINTS-PARTICULIERS}}</w:t>
            </w:r>
          </w:p>
          <w:p>
            <w:r>
              <w:rPr>
                <w:sz w:val="20"/>
              </w:rPr>
              <w:t>{{B04-QT-03}}</w:t>
            </w:r>
          </w:p>
          <w:p>
            <w:r>
              <w:rPr>
                <w:sz w:val="20"/>
              </w:rPr>
              <w:t>{{FINSI:POINTS-PARTICULIERS}}</w:t>
            </w:r>
          </w:p>
          <w:p>
            <w:r>
              <w:rPr>
                <w:sz w:val="20"/>
              </w:rPr>
              <w:t>Le calendrier d'intervention du Personnel Clé selon le cadre donné par le Formulaire PT6 et le calendrier des activités établi à l'aide du Formulaire PT7.</w:t>
            </w:r>
          </w:p>
        </w:tc>
      </w:tr>
      <w:tr>
        <w:tc>
          <w:tcPr>
            <w:tcW w:type="pct" w:w="2500"/>
          </w:tcPr>
          <w:p>
            <w:r>
              <w:rPr>
                <w:sz w:val="20"/>
              </w:rPr>
              <w:t>7.2.2. Proposition Financière</w:t>
            </w:r>
          </w:p>
        </w:tc>
        <w:tc>
          <w:tcPr>
            <w:tcW w:type="pct" w:w="2500"/>
          </w:tcPr>
          <w:p>
            <w:r>
              <w:rPr>
                <w:sz w:val="20"/>
              </w:rPr>
              <w:t>Mode de rémunération</w:t>
            </w:r>
          </w:p>
          <w:p>
            <w:r>
              <w:rPr>
                <w:sz w:val="20"/>
              </w:rPr>
              <w:t>{{SI:FORFAIT}}</w:t>
            </w:r>
          </w:p>
          <w:p>
            <w:r>
              <w:rPr>
                <w:sz w:val="20"/>
              </w:rPr>
              <w:t>a) Le Marché est rémunéré sur la base d'un prix forfaitaire.</w:t>
            </w:r>
          </w:p>
          <w:p>
            <w:r>
              <w:rPr>
                <w:sz w:val="20"/>
              </w:rPr>
              <w:t>Les Candidats indiquent un montant global correspondant à leur rémunération pour les Prestations ainsi que le montant des frais remboursables et des frais divers énumérés ci-après.</w:t>
            </w:r>
          </w:p>
          <w:p>
            <w:r>
              <w:rPr>
                <w:sz w:val="20"/>
              </w:rPr>
              <w:t>La rémunération forfaitaire ainsi que les frais remboursables et les frais divers sont, le cas échéant:</w:t>
            </w:r>
          </w:p>
          <w:p>
            <w:r>
              <w:rPr>
                <w:sz w:val="20"/>
              </w:rPr>
              <w:t>décomposés en coûts en devises éventuels et coûts en monnaie locale, à l'aide du Formulaire PF2.</w:t>
            </w:r>
          </w:p>
          <w:p>
            <w:r>
              <w:rPr>
                <w:sz w:val="20"/>
              </w:rPr>
              <w:t>ventilés par activité ou phase de réalisation des Prestations, telles que spécifiés dans le calendrier d'activités de la Proposition Technique dans le Formulaire PT7. Cette ventilation est effectuée à l'aide du Formulaire PF3,</w:t>
            </w:r>
          </w:p>
          <w:p>
            <w:r>
              <w:rPr>
                <w:sz w:val="20"/>
              </w:rPr>
              <w:t>{{SI:BUDGET-DISPONIBLE}}</w:t>
            </w:r>
          </w:p>
          <w:p>
            <w:r>
              <w:rPr>
                <w:sz w:val="20"/>
              </w:rPr>
              <w:t>le budget disponible est de: {{B05-PF-13}}</w:t>
            </w:r>
          </w:p>
          <w:p>
            <w:r>
              <w:rPr>
                <w:sz w:val="20"/>
              </w:rPr>
              <w:t>Les propositions financières d’un montant supérieur au budget disponible seront rejetées</w:t>
            </w:r>
          </w:p>
          <w:p>
            <w:r>
              <w:rPr>
                <w:sz w:val="20"/>
              </w:rPr>
              <w:t>{{FINSI:BUDGET-DISPONIBLE}}</w:t>
            </w:r>
          </w:p>
          <w:p>
            <w:r>
              <w:rPr>
                <w:sz w:val="20"/>
              </w:rPr>
              <w:t>Les paiements sont liés aux prestations fournies, matérialisées par la remise de supports écrits ou électroniques tels que rapports, études, plans, devis quantitatifs, documents d’appel d’offres, programmes logiciels, dûment approuvés.</w:t>
            </w:r>
          </w:p>
          <w:p>
            <w:r>
              <w:rPr>
                <w:sz w:val="20"/>
              </w:rPr>
              <w:t>{{FINSI:FORFAIT}}</w:t>
            </w:r>
          </w:p>
        </w:tc>
      </w:tr>
      <w:tr>
        <w:tc>
          <w:tcPr>
            <w:tcW w:type="pct" w:w="2500"/>
          </w:tcPr>
          <w:p>
            <w:r>
              <w:rPr>
                <w:sz w:val="20"/>
              </w:rPr>
              <w:t/>
            </w:r>
          </w:p>
        </w:tc>
        <w:tc>
          <w:tcPr>
            <w:tcW w:type="pct" w:w="2500"/>
          </w:tcPr>
          <w:p>
            <w:r>
              <w:rPr>
                <w:sz w:val="20"/>
              </w:rPr>
              <w:t>Mode de rémunération</w:t>
            </w:r>
          </w:p>
          <w:p>
            <w:r>
              <w:rPr>
                <w:sz w:val="20"/>
              </w:rPr>
              <w:t>{{SI:TEMPS-PASSE}}</w:t>
            </w:r>
          </w:p>
          <w:p>
            <w:r>
              <w:rPr>
                <w:sz w:val="20"/>
              </w:rPr>
              <w:t>b) Le Marché est rémunéré au temps passé.</w:t>
            </w:r>
          </w:p>
          <w:p>
            <w:r>
              <w:rPr>
                <w:sz w:val="20"/>
              </w:rPr>
              <w:t>Les Candidats indiquent:</w:t>
            </w:r>
          </w:p>
          <w:p>
            <w:r>
              <w:rPr>
                <w:sz w:val="20"/>
              </w:rPr>
              <w:t>les taux unitaires (taux horaires, journaliers, hebdomadaires ou mensuels, selon la durée et le type des Prestations) applicables à chaque catégorie de Personnel désignée dans le Formulaire PT4 de la Proposition technique. Ces taux comprennent les salaires, les charges sociales, les frais généraux, la marge bénéficiaire. Les taux unitaires et l'estimation du temps passé pour réaliser chaque étape ou activité comprise dans les Prestations sont indiqués à l'aide du Formulaire PF4;</w:t>
            </w:r>
          </w:p>
          <w:p>
            <w:r>
              <w:rPr>
                <w:sz w:val="20"/>
              </w:rPr>
              <w:t>les frais remboursables mentionnés ci-après établis à partir des dépenses effectives et/ou de prix unitaires convenus, qui sont remboursés sur la base de justificatifs de leur engagement.</w:t>
            </w:r>
          </w:p>
          <w:p>
            <w:r>
              <w:rPr>
                <w:sz w:val="20"/>
              </w:rPr>
              <w:t>Les frais divers mentionnés ci-après faisant l'objet d'un budget forfaitaire à régler au prorata de l'exécution du Marché, ou au fur et à mesure de leur engagement.</w:t>
            </w:r>
          </w:p>
          <w:p>
            <w:r>
              <w:rPr>
                <w:sz w:val="20"/>
              </w:rPr>
              <w:t>La durée prévisionnelle des Prestations est de:</w:t>
            </w:r>
          </w:p>
          <w:p>
            <w:r>
              <w:rPr>
                <w:sz w:val="20"/>
              </w:rPr>
              <w:t>{{B05-PF-03}}.</w:t>
            </w:r>
          </w:p>
          <w:p>
            <w:r>
              <w:rPr>
                <w:sz w:val="20"/>
              </w:rPr>
              <w:t>{{SI:TEMPS-MAXIMUM}}</w:t>
            </w:r>
          </w:p>
          <w:p>
            <w:r>
              <w:rPr>
                <w:sz w:val="20"/>
              </w:rPr>
              <w:t>le montant global maximum de Prestations est de: {{B05-PF-04}}</w:t>
            </w:r>
          </w:p>
          <w:p>
            <w:r>
              <w:rPr>
                <w:sz w:val="20"/>
              </w:rPr>
              <w:t>{{FINSI:TEMPS-MAXIMUM}}</w:t>
            </w:r>
          </w:p>
          <w:p>
            <w:r>
              <w:rPr>
                <w:sz w:val="20"/>
              </w:rPr>
              <w:t>{{SI:ALEA}}</w:t>
            </w:r>
          </w:p>
          <w:p>
            <w:r>
              <w:rPr>
                <w:sz w:val="20"/>
              </w:rPr>
              <w:t>un montant supplémentaire pour aléa d'exécution de {{B05-PF-05}} pourra, le cas échéant, être engagé sur accord écrit du Client.</w:t>
            </w:r>
          </w:p>
          <w:p>
            <w:r>
              <w:rPr>
                <w:sz w:val="20"/>
              </w:rPr>
              <w:t>{{FINSI:ALEA}}</w:t>
            </w:r>
          </w:p>
          <w:p>
            <w:r>
              <w:rPr>
                <w:sz w:val="20"/>
              </w:rPr>
              <w:t>{{FINSI:TEMPS-PASSE}}</w:t>
            </w:r>
          </w:p>
          <w:p>
            <w:r>
              <w:rPr>
                <w:sz w:val="20"/>
              </w:rPr>
              <w:t>{{SI:RESULTAT}}</w:t>
            </w:r>
          </w:p>
          <w:p>
            <w:r>
              <w:rPr>
                <w:sz w:val="20"/>
              </w:rPr>
              <w:t>c) Le Marché comporte:</w:t>
            </w:r>
          </w:p>
          <w:p>
            <w:r>
              <w:rPr>
                <w:sz w:val="20"/>
              </w:rPr>
              <w:t>une rémunération de base forfaitaire à proposer par le Candidat</w:t>
            </w:r>
          </w:p>
          <w:p>
            <w:r>
              <w:rPr>
                <w:sz w:val="20"/>
              </w:rPr>
              <w:t>une rémunération finale ou un honoraire de succès de {{B05-PF-06}} qui sera dû lors de {{B05-PF-07}}.</w:t>
            </w:r>
          </w:p>
          <w:p>
            <w:r>
              <w:rPr>
                <w:sz w:val="20"/>
              </w:rPr>
              <w:t>les frais remboursables mentionnés ci-après établis à partir des dépenses effectives et/ou de prix unitaires convenus, qui sont remboursés sur la base de justificatifs de leur engagement.</w:t>
            </w:r>
          </w:p>
          <w:p>
            <w:r>
              <w:rPr>
                <w:sz w:val="20"/>
              </w:rPr>
              <w:t>Les frais divers mentionnés ci-après faisant l'objet d'un budget forfaitaire à régler au prorata de l'exécution du Marché, ou au fur et à mesure de leur engagement.</w:t>
            </w:r>
          </w:p>
          <w:p>
            <w:r>
              <w:rPr>
                <w:sz w:val="20"/>
              </w:rPr>
              <w:t>{{FINSI:RESULTAT}}</w:t>
            </w:r>
          </w:p>
          <w:p>
            <w:r>
              <w:rPr>
                <w:sz w:val="20"/>
              </w:rPr>
              <w:t>{{SI:POURCENTAGE}}</w:t>
            </w:r>
          </w:p>
          <w:p>
            <w:r>
              <w:rPr>
                <w:sz w:val="20"/>
              </w:rPr>
              <w:t>Le Consultant sera rémunéré par un pourcentage, calculé sur</w:t>
            </w:r>
          </w:p>
          <w:p>
            <w:r>
              <w:rPr>
                <w:sz w:val="20"/>
              </w:rPr>
              <w:t>{{B05-PF-08}}</w:t>
            </w:r>
          </w:p>
          <w:p>
            <w:r>
              <w:rPr>
                <w:sz w:val="20"/>
              </w:rPr>
              <w:t>{{SI:POURCENTAGE-DEGRESSIF}}</w:t>
            </w:r>
          </w:p>
          <w:p>
            <w:r>
              <w:rPr>
                <w:sz w:val="20"/>
              </w:rPr>
              <w:t>calculé comme suit: {{B05-PF-09}}</w:t>
            </w:r>
          </w:p>
          <w:p>
            <w:r>
              <w:rPr>
                <w:sz w:val="20"/>
              </w:rPr>
              <w:t>{{FINSI:POURCENTAGE-DEGRESSIF}}</w:t>
            </w:r>
          </w:p>
          <w:p>
            <w:r>
              <w:rPr>
                <w:sz w:val="20"/>
              </w:rPr>
              <w:t>{{SI:POURCENTAGE-BAREME}}</w:t>
            </w:r>
          </w:p>
          <w:p>
            <w:r>
              <w:rPr>
                <w:sz w:val="20"/>
              </w:rPr>
              <w:t>calculé par application du barème en usage {{B05-PF-10}}</w:t>
            </w:r>
          </w:p>
          <w:p>
            <w:r>
              <w:rPr>
                <w:sz w:val="20"/>
              </w:rPr>
              <w:t>{{FINSI:POURCENTAGE-BAREME}}</w:t>
            </w:r>
          </w:p>
          <w:p>
            <w:r>
              <w:rPr>
                <w:sz w:val="20"/>
              </w:rPr>
              <w:t>{{FINSI:POURCENTAGE}}</w:t>
            </w:r>
          </w:p>
        </w:tc>
      </w:tr>
      <w:tr>
        <w:tc>
          <w:tcPr>
            <w:tcW w:type="pct" w:w="2500"/>
          </w:tcPr>
          <w:p>
            <w:r>
              <w:rPr>
                <w:sz w:val="20"/>
              </w:rPr>
              <w:t/>
            </w:r>
          </w:p>
        </w:tc>
        <w:tc>
          <w:tcPr>
            <w:tcW w:type="pct" w:w="2500"/>
          </w:tcPr>
          <w:p>
            <w:r>
              <w:rPr>
                <w:sz w:val="20"/>
              </w:rPr>
              <w:t>Frais remboursables</w:t>
            </w:r>
          </w:p>
          <w:p>
            <w:r>
              <w:rPr>
                <w:sz w:val="20"/>
              </w:rPr>
              <w:t>Les Candidats devront fournir les coûts des dépenses remboursables suivantes, dans un tableau établi suivant le Formulaire PF5:</w:t>
            </w:r>
          </w:p>
          <w:p>
            <w:r>
              <w:rPr>
                <w:sz w:val="20"/>
              </w:rPr>
              <w:t>{{B05-PF-11}}</w:t>
            </w:r>
          </w:p>
          <w:p>
            <w:r>
              <w:rPr>
                <w:sz w:val="20"/>
              </w:rPr>
              <w:t>Frais divers</w:t>
            </w:r>
          </w:p>
          <w:p>
            <w:r>
              <w:rPr>
                <w:sz w:val="20"/>
              </w:rPr>
              <w:t>{{B05-PF-12}}</w:t>
            </w:r>
          </w:p>
        </w:tc>
      </w:tr>
      <w:tr>
        <w:tc>
          <w:tcPr>
            <w:tcW w:type="pct" w:w="2500"/>
          </w:tcPr>
          <w:p>
            <w:r>
              <w:rPr>
                <w:sz w:val="20"/>
              </w:rPr>
              <w:t>{{SI:LANGUE}}</w:t>
            </w:r>
          </w:p>
        </w:tc>
        <w:tc>
          <w:tcPr>
            <w:tcW w:type="pct" w:w="2500"/>
          </w:tcPr>
          <w:p>
            <w:r>
              <w:rPr>
                <w:sz w:val="20"/>
              </w:rPr>
              <w:t/>
            </w:r>
          </w:p>
        </w:tc>
      </w:tr>
      <w:tr>
        <w:tc>
          <w:tcPr>
            <w:tcW w:type="pct" w:w="2500"/>
          </w:tcPr>
          <w:p>
            <w:r>
              <w:rPr>
                <w:sz w:val="20"/>
              </w:rPr>
              <w:t>7.3. Langue</w:t>
            </w:r>
          </w:p>
        </w:tc>
        <w:tc>
          <w:tcPr>
            <w:tcW w:type="pct" w:w="2500"/>
          </w:tcPr>
          <w:p>
            <w:r>
              <w:rPr>
                <w:sz w:val="20"/>
              </w:rPr>
              <w:t>{{SI:LANGUE-AUTRE}}</w:t>
            </w:r>
          </w:p>
          <w:p>
            <w:r>
              <w:rPr>
                <w:sz w:val="20"/>
              </w:rPr>
              <w:t>La langue de l'offre est:</w:t>
            </w:r>
          </w:p>
          <w:p>
            <w:r>
              <w:rPr>
                <w:sz w:val="20"/>
              </w:rPr>
              <w:t>{{B04-LP-02}}</w:t>
            </w:r>
          </w:p>
          <w:p>
            <w:r>
              <w:rPr>
                <w:sz w:val="20"/>
              </w:rPr>
              <w:t>{{FINSI:LANGUE-AUTRE}}</w:t>
            </w:r>
          </w:p>
          <w:p>
            <w:r>
              <w:rPr>
                <w:sz w:val="20"/>
              </w:rPr>
              <w:t>{{SI:LANGUE-DEUX}}</w:t>
            </w:r>
          </w:p>
          <w:p>
            <w:r>
              <w:rPr>
                <w:sz w:val="20"/>
              </w:rPr>
              <w:t>La langue de l'offre est le français ou {{B04-LP-02}}</w:t>
            </w:r>
          </w:p>
          <w:p>
            <w:r>
              <w:rPr>
                <w:sz w:val="20"/>
              </w:rPr>
              <w:t>{{FINSI:LANGUE-DEUX}}</w:t>
            </w:r>
          </w:p>
        </w:tc>
      </w:tr>
      <w:tr>
        <w:tc>
          <w:tcPr>
            <w:tcW w:type="pct" w:w="2500"/>
          </w:tcPr>
          <w:p>
            <w:r>
              <w:rPr>
                <w:sz w:val="20"/>
              </w:rPr>
              <w:t>{{FINSI:LANGUE}}</w:t>
            </w:r>
          </w:p>
        </w:tc>
        <w:tc>
          <w:tcPr>
            <w:tcW w:type="pct" w:w="2500"/>
          </w:tcPr>
          <w:p>
            <w:r>
              <w:rPr>
                <w:sz w:val="20"/>
              </w:rPr>
              <w:t/>
            </w:r>
          </w:p>
        </w:tc>
      </w:tr>
      <w:tr>
        <w:tc>
          <w:tcPr>
            <w:tcW w:type="pct" w:w="2500"/>
          </w:tcPr>
          <w:p>
            <w:r>
              <w:rPr>
                <w:sz w:val="20"/>
              </w:rPr>
              <w:t>7.4. Délai de validité des Propositions</w:t>
            </w:r>
          </w:p>
        </w:tc>
        <w:tc>
          <w:tcPr>
            <w:tcW w:type="pct" w:w="2500"/>
          </w:tcPr>
          <w:p>
            <w:r>
              <w:rPr>
                <w:sz w:val="20"/>
              </w:rPr>
              <w:t>Le délai de validité des Propositions sera de {{B04-DP-01}} jours.</w:t>
            </w:r>
          </w:p>
        </w:tc>
      </w:tr>
      <w:tr>
        <w:tc>
          <w:tcPr>
            <w:tcW w:type="pct" w:w="2500"/>
          </w:tcPr>
          <w:p>
            <w:r>
              <w:rPr>
                <w:sz w:val="20"/>
              </w:rPr>
              <w:t>7.5. Caractère ferme ou révisable des prix</w:t>
            </w:r>
          </w:p>
        </w:tc>
        <w:tc>
          <w:tcPr>
            <w:tcW w:type="pct" w:w="2500"/>
          </w:tcPr>
          <w:p>
            <w:r>
              <w:rPr>
                <w:sz w:val="20"/>
              </w:rPr>
              <w:t>{{SI:FERME}}</w:t>
            </w:r>
          </w:p>
          <w:p>
            <w:r>
              <w:rPr>
                <w:sz w:val="20"/>
              </w:rPr>
              <w:t>Les prix sont fermes et non révisables</w:t>
            </w:r>
          </w:p>
          <w:p>
            <w:r>
              <w:rPr>
                <w:sz w:val="20"/>
              </w:rPr>
              <w:t>{{FINSI:FERME}}</w:t>
            </w:r>
          </w:p>
          <w:p>
            <w:r>
              <w:rPr>
                <w:sz w:val="20"/>
              </w:rPr>
              <w:t>{{SI:REVISABLE}}</w:t>
            </w:r>
          </w:p>
          <w:p>
            <w:r>
              <w:rPr>
                <w:sz w:val="20"/>
              </w:rPr>
              <w:t>Les prix sont révisables</w:t>
            </w:r>
          </w:p>
          <w:p>
            <w:r>
              <w:rPr>
                <w:sz w:val="20"/>
              </w:rPr>
              <w:t>{{FINSI:REVISABLE}}</w:t>
            </w:r>
          </w:p>
        </w:tc>
      </w:tr>
      <w:tr>
        <w:tc>
          <w:tcPr>
            <w:tcW w:type="pct" w:w="2500"/>
          </w:tcPr>
          <w:p>
            <w:r>
              <w:rPr>
                <w:sz w:val="20"/>
              </w:rPr>
              <w:t>{{SI:DEVISE}}</w:t>
            </w:r>
          </w:p>
        </w:tc>
        <w:tc>
          <w:tcPr>
            <w:tcW w:type="pct" w:w="2500"/>
          </w:tcPr>
          <w:p>
            <w:r>
              <w:rPr>
                <w:sz w:val="20"/>
              </w:rPr>
              <w:t/>
            </w:r>
          </w:p>
        </w:tc>
      </w:tr>
      <w:tr>
        <w:tc>
          <w:tcPr>
            <w:tcW w:type="pct" w:w="2500"/>
          </w:tcPr>
          <w:p>
            <w:r>
              <w:rPr>
                <w:sz w:val="20"/>
              </w:rPr>
              <w:t>7.6. Monnaie</w:t>
            </w:r>
          </w:p>
        </w:tc>
        <w:tc>
          <w:tcPr>
            <w:tcW w:type="pct" w:w="2500"/>
          </w:tcPr>
          <w:p>
            <w:r>
              <w:rPr>
                <w:sz w:val="20"/>
              </w:rPr>
              <w:t>Les prix des Prestations et dépenses sont exprimés {{B05-MP-01}}.</w:t>
            </w:r>
          </w:p>
        </w:tc>
      </w:tr>
      <w:tr>
        <w:tc>
          <w:tcPr>
            <w:tcW w:type="pct" w:w="2500"/>
          </w:tcPr>
          <w:p>
            <w:r>
              <w:rPr>
                <w:sz w:val="20"/>
              </w:rPr>
              <w:t>{{FINSI:DEVISE}}</w:t>
            </w:r>
          </w:p>
        </w:tc>
        <w:tc>
          <w:tcPr>
            <w:tcW w:type="pct" w:w="2500"/>
          </w:tcPr>
          <w:p>
            <w:r>
              <w:rPr>
                <w:sz w:val="20"/>
              </w:rPr>
              <w:t/>
            </w:r>
          </w:p>
        </w:tc>
      </w:tr>
      <w:tr>
        <w:tc>
          <w:tcPr>
            <w:tcW w:type="pct" w:w="2500"/>
          </w:tcPr>
          <w:p>
            <w:r>
              <w:rPr>
                <w:sz w:val="20"/>
              </w:rPr>
              <w:t>7.7. Réunion préparatoire</w:t>
            </w:r>
          </w:p>
        </w:tc>
        <w:tc>
          <w:tcPr>
            <w:tcW w:type="pct" w:w="2500"/>
          </w:tcPr>
          <w:p>
            <w:r>
              <w:rPr>
                <w:sz w:val="20"/>
              </w:rPr>
              <w:t>{{SI:REUNION-NON}}</w:t>
            </w:r>
          </w:p>
          <w:p>
            <w:r>
              <w:rPr>
                <w:sz w:val="20"/>
              </w:rPr>
              <w:t>Il n'est pas prévue de réunion préparatoire</w:t>
            </w:r>
          </w:p>
          <w:p>
            <w:r>
              <w:rPr>
                <w:sz w:val="20"/>
              </w:rPr>
              <w:t>{{FINSI:REUNION-NON}}</w:t>
            </w:r>
          </w:p>
          <w:p>
            <w:r>
              <w:rPr>
                <w:sz w:val="20"/>
              </w:rPr>
              <w:t>{{SI:REUNION-OUI}}</w:t>
            </w:r>
          </w:p>
          <w:p>
            <w:r>
              <w:rPr>
                <w:sz w:val="20"/>
              </w:rPr>
              <w:t>Les représentants des Candidats sont invités à assister à une réunion préparatoire qui se tiendra aux lieu, date et heures indiqués ci-dessous:</w:t>
            </w:r>
          </w:p>
          <w:p>
            <w:r>
              <w:rPr>
                <w:sz w:val="20"/>
              </w:rPr>
              <w:t>{{B04-RU-02}}</w:t>
            </w:r>
          </w:p>
          <w:p>
            <w:r>
              <w:rPr>
                <w:sz w:val="20"/>
              </w:rPr>
              <w:t>{{FINSI:REUNION-OUI}}</w:t>
            </w:r>
          </w:p>
        </w:tc>
      </w:tr>
      <w:tr>
        <w:tc>
          <w:tcPr>
            <w:tcW w:type="pct" w:w="2500"/>
          </w:tcPr>
          <w:p>
            <w:r>
              <w:rPr>
                <w:sz w:val="20"/>
              </w:rPr>
              <w:t>8. – Remise des Propositions</w:t>
            </w:r>
          </w:p>
        </w:tc>
        <w:tc>
          <w:tcPr>
            <w:tcW w:type="pct" w:w="2500"/>
          </w:tcPr>
          <w:p>
            <w:r>
              <w:rPr>
                <w:sz w:val="20"/>
              </w:rPr>
              <w:t/>
            </w:r>
          </w:p>
        </w:tc>
      </w:tr>
      <w:tr>
        <w:tc>
          <w:tcPr>
            <w:tcW w:type="pct" w:w="2500"/>
          </w:tcPr>
          <w:p>
            <w:r>
              <w:rPr>
                <w:sz w:val="20"/>
              </w:rPr>
              <w:t>8.1. Forme des plis</w:t>
            </w:r>
          </w:p>
        </w:tc>
        <w:tc>
          <w:tcPr>
            <w:tcW w:type="pct" w:w="2500"/>
          </w:tcPr>
          <w:p>
            <w:r>
              <w:rPr>
                <w:sz w:val="20"/>
              </w:rPr>
              <w:t>Outre l’original des Propositions, le nombre de copies demandé est de : {{B04-FL-01}}</w:t>
            </w:r>
          </w:p>
          <w:p>
            <w:r>
              <w:rPr>
                <w:sz w:val="20"/>
              </w:rPr>
              <w:t>Les enveloppes intérieure et extérieure devront comporter les autres identifications suivantes : {{B04-FL-02}}</w:t>
            </w:r>
          </w:p>
          <w:p>
            <w:r>
              <w:rPr>
                <w:sz w:val="20"/>
              </w:rPr>
              <w:t>Aux fins de remise des Propositions, uniquement, l’adresse du Client est la suivante :</w:t>
            </w:r>
          </w:p>
          <w:p>
            <w:r>
              <w:rPr>
                <w:sz w:val="20"/>
              </w:rPr>
              <w:t>{{B04-FL-03}}</w:t>
            </w:r>
          </w:p>
        </w:tc>
      </w:tr>
      <w:tr>
        <w:tc>
          <w:tcPr>
            <w:tcW w:type="pct" w:w="2500"/>
          </w:tcPr>
          <w:p>
            <w:r>
              <w:rPr>
                <w:sz w:val="20"/>
              </w:rPr>
              <w:t>8.2. Lieu, date et heure de la remise des Propositions</w:t>
            </w:r>
          </w:p>
        </w:tc>
        <w:tc>
          <w:tcPr>
            <w:tcW w:type="pct" w:w="2500"/>
          </w:tcPr>
          <w:p>
            <w:r>
              <w:rPr>
                <w:sz w:val="20"/>
              </w:rPr>
              <w:t>Aux fins de remise des Propositions, uniquement, l’adresse de l’Autorité Contractante est la suivante :</w:t>
            </w:r>
          </w:p>
          <w:p>
            <w:r>
              <w:rPr>
                <w:sz w:val="20"/>
              </w:rPr>
              <w:t>{{B04-LH-01}}</w:t>
            </w:r>
          </w:p>
          <w:p>
            <w:r>
              <w:rPr>
                <w:sz w:val="20"/>
              </w:rPr>
              <w:t>La date et heure limites de remise des Propositions sont les suivantes : {{B04-LH-02}}</w:t>
            </w:r>
          </w:p>
        </w:tc>
      </w:tr>
      <w:tr>
        <w:tc>
          <w:tcPr>
            <w:tcW w:type="pct" w:w="2500"/>
          </w:tcPr>
          <w:p>
            <w:r>
              <w:rPr>
                <w:sz w:val="20"/>
              </w:rPr>
              <w:t>8.3. Remise des Propositions par voie électronique</w:t>
            </w:r>
          </w:p>
        </w:tc>
        <w:tc>
          <w:tcPr>
            <w:tcW w:type="pct" w:w="2500"/>
          </w:tcPr>
          <w:p>
            <w:r>
              <w:rPr>
                <w:sz w:val="20"/>
              </w:rPr>
              <w:t>{{SI:PAPIER}}</w:t>
            </w:r>
          </w:p>
          <w:p>
            <w:r>
              <w:rPr>
                <w:sz w:val="20"/>
              </w:rPr>
              <w:t>Le mode de remise des Propositions par voie électronique n'est pas possible dans le cadre de la présente consultation.</w:t>
            </w:r>
          </w:p>
          <w:p>
            <w:r>
              <w:rPr>
                <w:sz w:val="20"/>
              </w:rPr>
              <w:t>{{FINSI:PAPIER}}</w:t>
            </w:r>
          </w:p>
          <w:p>
            <w:r>
              <w:rPr>
                <w:sz w:val="20"/>
              </w:rPr>
              <w:t>{{SI:B04-SE}}</w:t>
            </w:r>
          </w:p>
          <w:p>
            <w:r>
              <w:rPr>
                <w:sz w:val="20"/>
              </w:rPr>
              <w:t>[[CLAUSE À FOURNIR PAR LE JURISTE : conditions et modalités de la remise électronique des Propositions — plateforme ({{B04-SE-02}}), heure de référence ({{B04-SE-04}}), signature exigée ({{B04-SE-05}}), formats ({{B04-SE-07}}) et tailles admis ({{B04-SE-08}} Mo par fichier, {{B04-SE-09}} Mo par proposition), ouverture électronique en séance seulement, assistance ({{B04-SE-14}}), indisponibilité et prorogation ({{B04-SE-12}} h, {{B04-SE-13}} jours ouvrables)]]</w:t>
            </w:r>
          </w:p>
          <w:p>
            <w:r>
              <w:rPr>
                <w:sz w:val="20"/>
              </w:rPr>
              <w:t>La soumission par la plateforme, effectuée depuis le compte authentifié du candidat et scellée par celle-ci, vaut signature de la proposition et de l'acte d'engagement au sens de l'article 31 du Code. L'attributaire remet l'original signé de son acte d'engagement avant la signature du marché.</w:t>
            </w:r>
          </w:p>
          <w:p>
            <w:r>
              <w:rPr>
                <w:sz w:val="20"/>
              </w:rPr>
              <w:t>{{FINSI:B04-SE}}</w:t>
            </w:r>
          </w:p>
        </w:tc>
      </w:tr>
      <w:tr>
        <w:tc>
          <w:tcPr>
            <w:tcW w:type="pct" w:w="2500"/>
          </w:tcPr>
          <w:p>
            <w:r>
              <w:rPr>
                <w:sz w:val="20"/>
              </w:rPr>
              <w:t>9. Ouverture des plis et évaluation des propositions</w:t>
            </w:r>
          </w:p>
        </w:tc>
        <w:tc>
          <w:tcPr>
            <w:tcW w:type="pct" w:w="2500"/>
          </w:tcPr>
          <w:p>
            <w:r>
              <w:rPr>
                <w:sz w:val="20"/>
              </w:rPr>
              <w:t/>
            </w:r>
          </w:p>
        </w:tc>
      </w:tr>
      <w:tr>
        <w:tc>
          <w:tcPr>
            <w:tcW w:type="pct" w:w="2500"/>
          </w:tcPr>
          <w:p>
            <w:r>
              <w:rPr>
                <w:sz w:val="20"/>
              </w:rPr>
              <w:t>9.3. Évaluation des Propositions techniques</w:t>
            </w:r>
          </w:p>
        </w:tc>
        <w:tc>
          <w:tcPr>
            <w:tcW w:type="pct" w:w="2500"/>
          </w:tcPr>
          <w:p>
            <w:r>
              <w:rPr>
                <w:sz w:val="20"/>
              </w:rPr>
              <w:t>La CAO évalue chaque proposition technique sur la base des critères mentionnés ci-dessous.</w:t>
            </w:r>
          </w:p>
          <w:p>
            <w:r>
              <w:rPr>
                <w:sz w:val="20"/>
              </w:rPr>
              <w:t>Une note comprise entre 1 et 100 sera attribué à chaque Candidat pour chaque critère. Ces notes seront ensuite pondérées en application des coefficients indiqués ci-dessous pour chaque critère puis additionnées pour aboutir à un score.</w:t>
            </w:r>
          </w:p>
          <w:p>
            <w:r>
              <w:rPr>
                <w:sz w:val="20"/>
              </w:rPr>
              <w:t>Les critères, sous-critères d’évaluation, et leurs poids respectifs sont les suivants:</w:t>
            </w:r>
          </w:p>
          <w:p>
            <w:r>
              <w:rPr>
                <w:sz w:val="20"/>
              </w:rPr>
              <w:t>Points</w:t>
            </w:r>
          </w:p>
          <w:p>
            <w:r>
              <w:rPr>
                <w:sz w:val="20"/>
              </w:rPr>
              <w:t>(i) Expérience des Candidats pertinente pour la mission: {{B06-TP-02}}</w:t>
            </w:r>
          </w:p>
          <w:p>
            <w:r>
              <w:rPr>
                <w:sz w:val="20"/>
              </w:rPr>
              <w:t>(ii) Conformité du plan de travail et de la méthode proposés aux Termes de référence:</w:t>
            </w:r>
          </w:p>
          <w:p>
            <w:r>
              <w:rPr>
                <w:sz w:val="20"/>
              </w:rPr>
              <w:t>a) Approche technique et méthodologie: &lt;Indiquer nombre de points&gt;</w:t>
            </w:r>
          </w:p>
          <w:p>
            <w:r>
              <w:rPr>
                <w:sz w:val="20"/>
              </w:rPr>
              <w:t>b)Plan de travail: &lt;Indiquer nombre de points&gt;</w:t>
            </w:r>
          </w:p>
          <w:p>
            <w:r>
              <w:rPr>
                <w:sz w:val="20"/>
              </w:rPr>
              <w:t>c) Organisation et personnel: &lt;Indiquer nombre de points&gt;</w:t>
            </w:r>
          </w:p>
          <w:p>
            <w:r>
              <w:rPr>
                <w:sz w:val="20"/>
              </w:rPr>
              <w:t>Total des points pour le critère (ii): {{B06-TP-03}}</w:t>
            </w:r>
          </w:p>
          <w:p>
            <w:r>
              <w:rPr>
                <w:sz w:val="20"/>
              </w:rPr>
              <w:t>(iii) Qualifications et compétence du Personnel Clé pour la mission:</w:t>
            </w:r>
          </w:p>
          <w:p>
            <w:r>
              <w:rPr>
                <w:sz w:val="20"/>
              </w:rPr>
              <w:t>a) Chef de mission &lt;Indiquer nombre de points&gt;</w:t>
            </w:r>
          </w:p>
          <w:p>
            <w:r>
              <w:rPr>
                <w:sz w:val="20"/>
              </w:rPr>
              <w:t>b) &lt;Indiquer le poste ou la discipline&gt; &lt;Indiquer nombre de points&gt;</w:t>
            </w:r>
          </w:p>
          <w:p>
            <w:r>
              <w:rPr>
                <w:sz w:val="20"/>
              </w:rPr>
              <w:t>c) &lt;Indiquer le poste ou la discipline&gt; &lt;Indiquer nombre de points&gt;</w:t>
            </w:r>
          </w:p>
          <w:p>
            <w:r>
              <w:rPr>
                <w:sz w:val="20"/>
              </w:rPr>
              <w:t>d) &lt;Indiquer le poste ou la discipline&gt; &lt;Indiquer nombre de points&gt;</w:t>
            </w:r>
          </w:p>
          <w:p>
            <w:r>
              <w:rPr>
                <w:sz w:val="20"/>
              </w:rPr>
              <w:t>Total des points pour le critère (iii) : {{B06-TP-04}}</w:t>
            </w:r>
          </w:p>
          <w:p>
            <w:r>
              <w:rPr>
                <w:sz w:val="20"/>
              </w:rPr>
              <w:t>Le nombre de points attribués à chaque poste ou discipline ci-dessus est déterminé en tenant compte des trois sous-critères suivants, pondérés comme indiqué au regard de chaque sous - critère:</w:t>
            </w:r>
          </w:p>
          <w:p>
            <w:r>
              <w:rPr>
                <w:sz w:val="20"/>
              </w:rPr>
              <w:t>1)Qualifications générales &lt; pondération entre 20 et 30%&gt;</w:t>
            </w:r>
          </w:p>
          <w:p>
            <w:r>
              <w:rPr>
                <w:sz w:val="20"/>
              </w:rPr>
              <w:t>2)Pertinence avec la mission &lt; pondération entre 50 et 60%&gt;</w:t>
            </w:r>
          </w:p>
          <w:p>
            <w:r>
              <w:rPr>
                <w:sz w:val="20"/>
              </w:rPr>
              <w:t>3)Expérience de la région et de la langue &lt;pondération entre 10 et 20%&gt;</w:t>
            </w:r>
          </w:p>
          <w:p>
            <w:r>
              <w:rPr>
                <w:sz w:val="20"/>
              </w:rPr>
              <w:t>Pondération totale:100%</w:t>
            </w:r>
          </w:p>
        </w:tc>
      </w:tr>
      <w:tr>
        <w:tc>
          <w:tcPr>
            <w:tcW w:type="pct" w:w="2500"/>
          </w:tcPr>
          <w:p>
            <w:r>
              <w:rPr>
                <w:sz w:val="20"/>
              </w:rPr>
              <w:t/>
            </w:r>
          </w:p>
        </w:tc>
        <w:tc>
          <w:tcPr>
            <w:tcW w:type="pct" w:w="2500"/>
          </w:tcPr>
          <w:p>
            <w:r>
              <w:rPr>
                <w:sz w:val="20"/>
              </w:rPr>
              <w:t>{{SI:TRANSFERT}}</w:t>
            </w:r>
          </w:p>
          <w:p>
            <w:r>
              <w:rPr>
                <w:sz w:val="20"/>
              </w:rPr>
              <w:t>(iv) Adéquation du programme de transfert de connaissances (formation) :</w:t>
            </w:r>
          </w:p>
          <w:p>
            <w:r>
              <w:rPr>
                <w:sz w:val="20"/>
              </w:rPr>
              <w:t>a)Pertinence du programme de formation &lt;indiquer les points&gt;</w:t>
            </w:r>
          </w:p>
          <w:p>
            <w:r>
              <w:rPr>
                <w:sz w:val="20"/>
              </w:rPr>
              <w:t>b)Modalité de formation et méthodologie &lt;indiquer les points&gt;</w:t>
            </w:r>
          </w:p>
          <w:p>
            <w:r>
              <w:rPr>
                <w:sz w:val="20"/>
              </w:rPr>
              <w:t>c)Qualifications des experts et des formateurs &lt;indiquer les points&gt;</w:t>
            </w:r>
          </w:p>
          <w:p>
            <w:r>
              <w:rPr>
                <w:sz w:val="20"/>
              </w:rPr>
              <w:t>Total des points pour le critère (iv): {{B06-TP-05}}</w:t>
            </w:r>
          </w:p>
          <w:p>
            <w:r>
              <w:rPr>
                <w:sz w:val="20"/>
              </w:rPr>
              <w:t>{{FINSI:TRANSFERT}}</w:t>
            </w:r>
          </w:p>
          <w:p>
            <w:r>
              <w:rPr>
                <w:sz w:val="20"/>
              </w:rPr>
              <w:t>(v)Participation de ressortissants nationaux au personnel clé</w:t>
            </w:r>
          </w:p>
        </w:tc>
      </w:tr>
      <w:tr>
        <w:tc>
          <w:tcPr>
            <w:tcW w:type="pct" w:w="2500"/>
          </w:tcPr>
          <w:p>
            <w:r>
              <w:rPr>
                <w:sz w:val="20"/>
              </w:rPr>
              <w:t/>
            </w:r>
          </w:p>
        </w:tc>
        <w:tc>
          <w:tcPr>
            <w:tcW w:type="pct" w:w="2500"/>
          </w:tcPr>
          <w:p>
            <w:r>
              <w:rPr>
                <w:sz w:val="20"/>
              </w:rPr>
              <w:t>{{B06-TP-06}}</w:t>
            </w:r>
          </w:p>
          <w:p>
            <w:r>
              <w:rPr>
                <w:sz w:val="20"/>
              </w:rPr>
              <w:t>Total des points pour les cinq critères:100</w:t>
            </w:r>
          </w:p>
          <w:p>
            <w:r>
              <w:rPr>
                <w:sz w:val="20"/>
              </w:rPr>
              <w:t>Le score technique minimum T(s) requis pour être admis est :</w:t>
            </w:r>
          </w:p>
          <w:p>
            <w:r>
              <w:rPr>
                <w:sz w:val="20"/>
              </w:rPr>
              <w:t>{{B06-TP-07}} Points</w:t>
            </w:r>
          </w:p>
        </w:tc>
      </w:tr>
      <w:tr>
        <w:tc>
          <w:tcPr>
            <w:tcW w:type="pct" w:w="2500"/>
          </w:tcPr>
          <w:p>
            <w:r>
              <w:rPr>
                <w:sz w:val="20"/>
              </w:rPr>
              <w:t>9.4. Ouverture des Propositions financières</w:t>
            </w:r>
          </w:p>
        </w:tc>
        <w:tc>
          <w:tcPr>
            <w:tcW w:type="pct" w:w="2500"/>
          </w:tcPr>
          <w:p>
            <w:r>
              <w:rPr>
                <w:sz w:val="20"/>
              </w:rPr>
              <w:t>{{SI:DEVISE}}</w:t>
            </w:r>
          </w:p>
          <w:p>
            <w:r>
              <w:rPr>
                <w:sz w:val="20"/>
              </w:rPr>
              <w:t>Les prix exprimés en devises convertibles sont convertis en Ariary sur la base du cours vendeur publié par la Banque Centrale de Madagascar le:</w:t>
            </w:r>
          </w:p>
          <w:p>
            <w:r>
              <w:rPr>
                <w:sz w:val="20"/>
              </w:rPr>
              <w:t>&lt;date correspondant au quinzième jour précédant la date limite fixée pour la remise des Propositions&gt;</w:t>
            </w:r>
          </w:p>
          <w:p>
            <w:r>
              <w:rPr>
                <w:sz w:val="20"/>
              </w:rPr>
              <w:t>{{FINSI:DEVISE}}</w:t>
            </w:r>
          </w:p>
          <w:p>
            <w:r>
              <w:rPr>
                <w:sz w:val="20"/>
              </w:rPr>
              <w:t>{{SI:FINANCIERE}}</w:t>
            </w:r>
          </w:p>
          <w:p>
            <w:r>
              <w:rPr>
                <w:sz w:val="20"/>
              </w:rPr>
              <w:t>Aux fins de calcul du score final la proposition la moins élevée peut se voir attribuer un score financier de 100 et les autres propositions des scores financiers inversement proportionnels à leur coût, établis comme suit:</w:t>
            </w:r>
          </w:p>
          <w:p>
            <w:r>
              <w:rPr>
                <w:sz w:val="20"/>
              </w:rPr>
              <w:t>Sf = 100 x Fm / F, où Sf est le score financier, Fm la proposition la moins disante et F le montant de la proposition considérée, hors dépenses remboursables.</w:t>
            </w:r>
          </w:p>
          <w:p>
            <w:r>
              <w:rPr>
                <w:sz w:val="20"/>
              </w:rPr>
              <w:t>{{FINSI:FINANCIERE}}</w:t>
            </w:r>
          </w:p>
        </w:tc>
      </w:tr>
      <w:tr>
        <w:tc>
          <w:tcPr>
            <w:tcW w:type="pct" w:w="2500"/>
          </w:tcPr>
          <w:p>
            <w:r>
              <w:rPr>
                <w:sz w:val="20"/>
              </w:rPr>
              <w:t>{{SI:SFQC}}</w:t>
            </w:r>
          </w:p>
        </w:tc>
        <w:tc>
          <w:tcPr>
            <w:tcW w:type="pct" w:w="2500"/>
          </w:tcPr>
          <w:p>
            <w:r>
              <w:rPr>
                <w:sz w:val="20"/>
              </w:rPr>
              <w:t/>
            </w:r>
          </w:p>
        </w:tc>
      </w:tr>
      <w:tr>
        <w:tc>
          <w:tcPr>
            <w:tcW w:type="pct" w:w="2500"/>
          </w:tcPr>
          <w:p>
            <w:r>
              <w:rPr>
                <w:sz w:val="20"/>
              </w:rPr>
              <w:t>9.5. Classement des Propositions</w:t>
            </w:r>
          </w:p>
        </w:tc>
        <w:tc>
          <w:tcPr>
            <w:tcW w:type="pct" w:w="2500"/>
          </w:tcPr>
          <w:p>
            <w:r>
              <w:rPr>
                <w:sz w:val="20"/>
              </w:rPr>
              <w:t>Pour l'établissement du classement final les poids respectifs attribués aux Propositions technique et financière sont :</w:t>
            </w:r>
          </w:p>
          <w:p>
            <w:r>
              <w:rPr>
                <w:sz w:val="20"/>
              </w:rPr>
              <w:t>T = {{B06-CS-02}}, et</w:t>
            </w:r>
          </w:p>
          <w:p>
            <w:r>
              <w:rPr>
                <w:sz w:val="20"/>
              </w:rPr>
              <w:t>F = {{B06-CS-03}}</w:t>
            </w:r>
          </w:p>
          <w:p>
            <w:r>
              <w:rPr>
                <w:sz w:val="20"/>
              </w:rPr>
              <w:t>Total égal à 1</w:t>
            </w:r>
          </w:p>
        </w:tc>
      </w:tr>
      <w:tr>
        <w:tc>
          <w:tcPr>
            <w:tcW w:type="pct" w:w="2500"/>
          </w:tcPr>
          <w:p>
            <w:r>
              <w:rPr>
                <w:sz w:val="20"/>
              </w:rPr>
              <w:t>{{FINSI:SFQC}}</w:t>
            </w:r>
          </w:p>
        </w:tc>
        <w:tc>
          <w:tcPr>
            <w:tcW w:type="pct" w:w="2500"/>
          </w:tcPr>
          <w:p>
            <w:r>
              <w:rPr>
                <w:sz w:val="20"/>
              </w:rPr>
              <w:t/>
            </w:r>
          </w:p>
        </w:tc>
      </w:tr>
      <w:tr>
        <w:tc>
          <w:tcPr>
            <w:tcW w:type="pct" w:w="2500"/>
          </w:tcPr>
          <w:p>
            <w:r>
              <w:rPr>
                <w:sz w:val="20"/>
              </w:rPr>
              <w:t>10. Adresse des négociations</w:t>
            </w:r>
          </w:p>
        </w:tc>
        <w:tc>
          <w:tcPr>
            <w:tcW w:type="pct" w:w="2500"/>
          </w:tcPr>
          <w:p>
            <w:r>
              <w:rPr>
                <w:sz w:val="20"/>
              </w:rPr>
              <w:t>Les négociations auront lieu à l’adresse suivante :</w:t>
            </w:r>
          </w:p>
          <w:p>
            <w:r>
              <w:rPr>
                <w:sz w:val="20"/>
              </w:rPr>
              <w:t>{{B06-NG-01}}</w:t>
            </w:r>
          </w:p>
        </w:tc>
      </w:tr>
      <w:tr>
        <w:tc>
          <w:tcPr>
            <w:tcW w:type="pct" w:w="2500"/>
          </w:tcPr>
          <w:p>
            <w:r>
              <w:rPr>
                <w:sz w:val="20"/>
              </w:rPr>
              <w:t>{{SI:DELAI-AE}}</w:t>
            </w:r>
          </w:p>
        </w:tc>
        <w:tc>
          <w:tcPr>
            <w:tcW w:type="pct" w:w="2500"/>
          </w:tcPr>
          <w:p>
            <w:r>
              <w:rPr>
                <w:sz w:val="20"/>
              </w:rPr>
              <w:t/>
            </w:r>
          </w:p>
        </w:tc>
      </w:tr>
      <w:tr>
        <w:tc>
          <w:tcPr>
            <w:tcW w:type="pct" w:w="2500"/>
          </w:tcPr>
          <w:p>
            <w:r>
              <w:rPr>
                <w:sz w:val="20"/>
              </w:rPr>
              <w:t>11. Signature de l'Acte d'Engagement par le Candidat</w:t>
            </w:r>
          </w:p>
        </w:tc>
        <w:tc>
          <w:tcPr>
            <w:tcW w:type="pct" w:w="2500"/>
          </w:tcPr>
          <w:p>
            <w:r>
              <w:rPr>
                <w:sz w:val="20"/>
              </w:rPr>
              <w:t>Le Candidat devra renvoyer l'Acte d'Engagement signé dans un délai de {{B02-SP-01}} jours à compter de sa réception.</w:t>
            </w:r>
          </w:p>
        </w:tc>
      </w:tr>
      <w:tr>
        <w:tc>
          <w:tcPr>
            <w:tcW w:type="pct" w:w="2500"/>
          </w:tcPr>
          <w:p>
            <w:r>
              <w:rPr>
                <w:sz w:val="20"/>
              </w:rPr>
              <w:t>{{FINSI:DELAI-AE}}</w:t>
            </w:r>
          </w:p>
        </w:tc>
        <w:tc>
          <w:tcPr>
            <w:tcW w:type="pct" w:w="2500"/>
          </w:tcPr>
          <w:p>
            <w:r>
              <w:rPr>
                <w:sz w:val="20"/>
              </w:rPr>
              <w:t/>
            </w:r>
          </w:p>
        </w:tc>
      </w:tr>
    </w:tbl>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2026-10-14T08:20:32Z</dcterms:created>
  <dc:creator>Apache POI</dc:creator>
</cp:coreProperties>
</file>