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DONNEES PARTICULIERES D’APPEL A CONCURRENCE</w:t>
      </w:r>
    </w:p>
    <w:p>
      <w:pPr>
        <w:spacing w:after="120"/>
        <w:jc w:val="center"/>
      </w:pPr>
      <w:r>
        <w:rPr>
          <w:b w:val="off"/>
          <w:sz w:val="22"/>
        </w:rPr>
        <w:t>{{B01-AC-01}}</w:t>
      </w:r>
    </w:p>
    <w:p>
      <w:pPr>
        <w:spacing w:after="120"/>
        <w:jc w:val="both"/>
      </w:pPr>
      <w:r>
        <w:rPr>
          <w:b w:val="off"/>
          <w:sz w:val="22"/>
        </w:rPr>
        <w:t>MARCHE DE : {{B01-AC-12}}</w:t>
      </w:r>
    </w:p>
    <w:p>
      <w:pPr>
        <w:spacing w:after="120"/>
        <w:jc w:val="both"/>
      </w:pPr>
      <w:r>
        <w:rPr>
          <w:b w:val="off"/>
          <w:sz w:val="22"/>
        </w:rPr>
        <w:t>NUMÉRO : {{B02-OE-01}}</w:t>
      </w:r>
    </w:p>
    <w:p>
      <w:pPr>
        <w:spacing w:after="120"/>
        <w:jc w:val="both"/>
      </w:pPr>
      <w:r>
        <w:rPr>
          <w:b w:val="off"/>
          <w:sz w:val="22"/>
        </w:rPr>
        <w:t>OBJET DU CONTRAT-CADRE: {{B02-OB-01}}</w:t>
      </w:r>
    </w:p>
    <w:p>
      <w:pPr>
        <w:spacing w:after="120"/>
        <w:jc w:val="center"/>
      </w:pPr>
      <w:r>
        <w:rPr>
          <w:b w:val="off"/>
          <w:sz w:val="22"/>
        </w:rPr>
        <w:t>REGLEMENT DE LA CONSULTATION(1) (contrat-cadre marché de fournitures et services)</w:t>
      </w:r>
    </w:p>
    <w:p>
      <w:pPr>
        <w:spacing w:after="120"/>
        <w:jc w:val="both"/>
      </w:pPr>
      <w:r>
        <w:rPr>
          <w:b w:val="off"/>
          <w:sz w:val="22"/>
        </w:rPr>
        <w:t>PROCEDURE DE CONSULTATION (1) : {{B01-AC-13}}</w:t>
      </w:r>
    </w:p>
    <w:p>
      <w:pPr>
        <w:spacing w:after="120"/>
        <w:jc w:val="both"/>
      </w:pPr>
      <w:r>
        <w:rPr>
          <w:b w:val="off"/>
          <w:sz w:val="22"/>
        </w:rPr>
        <w:t>REPRESENTANT DE L’AUTORITÉ CONTRACTANTE : {{B01-AC-05}}</w:t>
      </w:r>
    </w:p>
    <w:p>
      <w:pPr>
        <w:spacing w:after="120"/>
        <w:jc w:val="both"/>
      </w:pPr>
      <w:r>
        <w:rPr>
          <w:b w:val="off"/>
          <w:sz w:val="22"/>
        </w:rPr>
        <w:t>DATE ET HEURE LIMITES DE REMISE DES OFFRES : {{B04-CP-02}}</w:t>
      </w:r>
    </w:p>
    <w:p>
      <w:pPr>
        <w:spacing w:after="160"/>
        <w:jc w:val="left"/>
      </w:pPr>
      <w:r>
        <w:rPr>
          <w:b w:val="on"/>
          <w:sz w:val="22"/>
        </w:rPr>
        <w:t>ARTICLE 1 : OBJET ET ETENDUE DU CONTRAT-CADRE</w:t>
      </w:r>
    </w:p>
    <w:p>
      <w:pPr>
        <w:spacing w:after="160"/>
        <w:jc w:val="left"/>
      </w:pPr>
      <w:r>
        <w:rPr>
          <w:b w:val="on"/>
          <w:sz w:val="22"/>
        </w:rPr>
        <w:t>Objet du contrat-cadre</w:t>
      </w:r>
    </w:p>
    <w:p>
      <w:pPr>
        <w:spacing w:after="120"/>
        <w:jc w:val="both"/>
      </w:pPr>
      <w:r>
        <w:rPr>
          <w:b w:val="off"/>
          <w:sz w:val="22"/>
        </w:rPr>
        <w:t>Le présent contrat-cadre a pour objet de définir les termes régissant les marchés à passer pendant la période précisée à l’article suivant.</w:t>
      </w:r>
    </w:p>
    <w:p>
      <w:pPr>
        <w:spacing w:after="120"/>
        <w:jc w:val="both"/>
      </w:pPr>
      <w:r>
        <w:rPr>
          <w:b w:val="off"/>
          <w:sz w:val="22"/>
        </w:rPr>
        <w:t>Il porte sur: {{B02-OB-01}}. Les détails des besoins à couvrir sont présentés dans le cahier des charges (annexe 1 au contrat-cadre).</w:t>
      </w:r>
    </w:p>
    <w:p>
      <w:pPr>
        <w:spacing w:after="160"/>
        <w:jc w:val="left"/>
      </w:pPr>
      <w:r>
        <w:rPr>
          <w:b w:val="on"/>
          <w:sz w:val="22"/>
        </w:rPr>
        <w:t>Procédure de mise en concurrence</w:t>
      </w:r>
    </w:p>
    <w:p>
      <w:pPr>
        <w:spacing w:after="120"/>
        <w:jc w:val="both"/>
      </w:pPr>
      <w:r>
        <w:rPr>
          <w:b w:val="off"/>
          <w:sz w:val="22"/>
        </w:rPr>
        <w:t>{{SI:MONO}}</w:t>
      </w:r>
    </w:p>
    <w:p>
      <w:pPr>
        <w:spacing w:after="120"/>
        <w:jc w:val="both"/>
      </w:pPr>
      <w:r>
        <w:rPr>
          <w:b w:val="off"/>
          <w:sz w:val="22"/>
        </w:rPr>
        <w:t>La présente consultation en vue de l’attribution du contrat-cadre à un seul titulaire (mono-attributaire) est passée selon la procédure {{B01-AC-13}} en application de l’article {{B02-PC-01}} du code des marchés publics.</w:t>
      </w:r>
    </w:p>
    <w:p>
      <w:pPr>
        <w:spacing w:after="120"/>
        <w:jc w:val="both"/>
      </w:pPr>
      <w:r>
        <w:rPr>
          <w:b w:val="off"/>
          <w:sz w:val="22"/>
        </w:rPr>
        <w:t>{{FINSI:MONO}}</w:t>
      </w:r>
    </w:p>
    <w:p>
      <w:pPr>
        <w:spacing w:after="120"/>
        <w:jc w:val="both"/>
      </w:pPr>
      <w:r>
        <w:rPr>
          <w:b w:val="off"/>
          <w:sz w:val="22"/>
        </w:rPr>
        <w:t>{{SI:MULTI}}</w:t>
      </w:r>
    </w:p>
    <w:p>
      <w:pPr>
        <w:spacing w:after="120"/>
        <w:jc w:val="both"/>
      </w:pPr>
      <w:r>
        <w:rPr>
          <w:b w:val="off"/>
          <w:sz w:val="22"/>
        </w:rPr>
        <w:t>La présente consultation en vue de l’attribution du contrat-cadre à plusieurs titulaires (multi attributaire) est passée selon la procédure {{B01-AC-13}} en application de l’article {{B02-PC-01}} du code des marchés publics.</w:t>
      </w:r>
    </w:p>
    <w:p>
      <w:pPr>
        <w:spacing w:after="120"/>
        <w:jc w:val="both"/>
      </w:pPr>
      <w:r>
        <w:rPr>
          <w:b w:val="off"/>
          <w:sz w:val="22"/>
        </w:rPr>
        <w:t>{{FINSI:MULTI}}</w:t>
      </w:r>
    </w:p>
    <w:p>
      <w:pPr>
        <w:spacing w:after="120"/>
        <w:jc w:val="both"/>
      </w:pPr>
      <w:r>
        <w:rPr>
          <w:b w:val="off"/>
          <w:sz w:val="22"/>
        </w:rPr>
        <w:t>{{SI:RC-BESOIN}}</w:t>
      </w:r>
    </w:p>
    <w:p>
      <w:pPr>
        <w:spacing w:after="120"/>
        <w:jc w:val="both"/>
      </w:pPr>
      <w:r>
        <w:rPr>
          <w:b w:val="off"/>
          <w:sz w:val="22"/>
        </w:rPr>
        <w:t>Les attributaires issus de la présente procédure deviennent titulaires du contrat-cadre et seront remis en compétition au fur et à mesure des besoins, pour l’attribution des marchés subséquents au contrat-cadre.</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Les attributaires issus de la présente procédure deviennent titulaires du contrat-cadre et seront remis en compétition selon le calendrier fixé ci-après, pour l’attribution des marchés subséquents au contrat-cadre.</w:t>
      </w:r>
    </w:p>
    <w:p>
      <w:pPr>
        <w:spacing w:after="120"/>
        <w:jc w:val="both"/>
      </w:pPr>
      <w:r>
        <w:rPr>
          <w:b w:val="off"/>
          <w:sz w:val="22"/>
        </w:rPr>
        <w:t>{{B02-PC-03}}</w:t>
      </w:r>
    </w:p>
    <w:p>
      <w:pPr>
        <w:spacing w:after="120"/>
        <w:jc w:val="both"/>
      </w:pPr>
      <w:r>
        <w:rPr>
          <w:b w:val="off"/>
          <w:sz w:val="22"/>
        </w:rPr>
        <w:t>{{FINSI:RC-CALENDRIER}}</w:t>
      </w:r>
    </w:p>
    <w:p>
      <w:pPr>
        <w:spacing w:after="120"/>
        <w:jc w:val="both"/>
      </w:pPr>
      <w:r>
        <w:rPr>
          <w:b w:val="off"/>
          <w:sz w:val="22"/>
        </w:rPr>
        <w:t>Les marchés subséquents issus du présent contrat-cadre seront attribués dans les conditions du présent document.</w:t>
      </w:r>
    </w:p>
    <w:p>
      <w:pPr>
        <w:spacing w:after="160"/>
        <w:jc w:val="left"/>
      </w:pPr>
      <w:r>
        <w:rPr>
          <w:b w:val="on"/>
          <w:sz w:val="22"/>
        </w:rPr>
        <w:t>ARTICLE 2 : DISPOSITIONS GENERALES</w:t>
      </w:r>
    </w:p>
    <w:p>
      <w:pPr>
        <w:spacing w:after="160"/>
        <w:jc w:val="left"/>
      </w:pPr>
      <w:r>
        <w:rPr>
          <w:b w:val="on"/>
          <w:sz w:val="22"/>
        </w:rPr>
        <w:t>Forme du contrat</w:t>
      </w:r>
    </w:p>
    <w:p>
      <w:pPr>
        <w:spacing w:after="120"/>
        <w:jc w:val="both"/>
      </w:pPr>
      <w:r>
        <w:rPr>
          <w:b w:val="off"/>
          <w:sz w:val="22"/>
        </w:rPr>
        <w:t>{{SI:PRIX-UNITAIRES}}</w:t>
      </w:r>
    </w:p>
    <w:p>
      <w:pPr>
        <w:spacing w:after="120"/>
        <w:jc w:val="both"/>
      </w:pPr>
      <w:r>
        <w:rPr>
          <w:b w:val="off"/>
          <w:sz w:val="22"/>
        </w:rPr>
        <w:t>Le contrat-cadre est conclu à prix unitaires.</w:t>
      </w:r>
    </w:p>
    <w:p>
      <w:pPr>
        <w:spacing w:after="120"/>
        <w:jc w:val="both"/>
      </w:pPr>
      <w:r>
        <w:rPr>
          <w:b w:val="off"/>
          <w:sz w:val="22"/>
        </w:rPr>
        <w:t>{{FINSI:PRIX-UNITAIRES}}</w:t>
      </w:r>
    </w:p>
    <w:p>
      <w:pPr>
        <w:spacing w:after="120"/>
        <w:jc w:val="both"/>
      </w:pPr>
      <w:r>
        <w:rPr>
          <w:b w:val="off"/>
          <w:sz w:val="22"/>
        </w:rPr>
        <w:t>{{SI:PRIX-FORFAITAIRE}}</w:t>
      </w:r>
    </w:p>
    <w:p>
      <w:pPr>
        <w:spacing w:after="120"/>
        <w:jc w:val="both"/>
      </w:pPr>
      <w:r>
        <w:rPr>
          <w:b w:val="off"/>
          <w:sz w:val="22"/>
        </w:rPr>
        <w:t>Le contrat-cadre est conclu à prix forfaitaires.</w:t>
      </w:r>
    </w:p>
    <w:p>
      <w:pPr>
        <w:spacing w:after="120"/>
        <w:jc w:val="both"/>
      </w:pPr>
      <w:r>
        <w:rPr>
          <w:b w:val="off"/>
          <w:sz w:val="22"/>
        </w:rPr>
        <w:t>{{FINSI:PRIX-FORFAITAIRE}}</w:t>
      </w:r>
    </w:p>
    <w:p>
      <w:pPr>
        <w:spacing w:after="160"/>
        <w:jc w:val="left"/>
      </w:pPr>
      <w:r>
        <w:rPr>
          <w:b w:val="on"/>
          <w:sz w:val="22"/>
        </w:rPr>
        <w:t>Montant du contrat</w:t>
      </w:r>
    </w:p>
    <w:p>
      <w:pPr>
        <w:spacing w:after="120"/>
        <w:jc w:val="both"/>
      </w:pPr>
      <w:r>
        <w:rPr>
          <w:b w:val="off"/>
          <w:sz w:val="22"/>
        </w:rPr>
        <w:t>Le montant du Contrat est estimé à {{B05-MT-01.chiffres}} Ariary HT (hors taxes) sur la durée totale du contrat (reconductions comprises).</w:t>
      </w:r>
    </w:p>
    <w:p>
      <w:pPr>
        <w:spacing w:after="160"/>
        <w:jc w:val="left"/>
      </w:pPr>
      <w:r>
        <w:rPr>
          <w:b w:val="on"/>
          <w:sz w:val="22"/>
        </w:rPr>
        <w:t>Durée du contrat</w:t>
      </w:r>
    </w:p>
    <w:p>
      <w:pPr>
        <w:spacing w:after="120"/>
        <w:jc w:val="both"/>
      </w:pPr>
      <w:r>
        <w:rPr>
          <w:b w:val="off"/>
          <w:sz w:val="22"/>
        </w:rPr>
        <w:t>La durée de validité du Contrat est de {{B02-DC-01}} mois (maximum reconductions comprises) à compter de sa date de notification. Le contrat est conclu pour une première période de validité de {{B02-DC-02}} mois à compter de sa date de notification.</w:t>
      </w:r>
    </w:p>
    <w:p>
      <w:pPr>
        <w:spacing w:after="120"/>
        <w:jc w:val="both"/>
      </w:pPr>
      <w:r>
        <w:rPr>
          <w:b w:val="off"/>
          <w:sz w:val="22"/>
        </w:rPr>
        <w:t>{{SI:RECONDUCTIBLE}}</w:t>
      </w:r>
    </w:p>
    <w:p>
      <w:pPr>
        <w:spacing w:after="120"/>
        <w:jc w:val="both"/>
      </w:pPr>
      <w:r>
        <w:rPr>
          <w:b w:val="off"/>
          <w:sz w:val="22"/>
        </w:rPr>
        <w:t>Cette période de validité peut être reconduite {{B02-DC-04}}</w:t>
      </w:r>
    </w:p>
    <w:p>
      <w:pPr>
        <w:spacing w:after="120"/>
        <w:jc w:val="both"/>
      </w:pPr>
      <w:r>
        <w:rPr>
          <w:b w:val="off"/>
          <w:sz w:val="22"/>
        </w:rPr>
        <w:t>{{FINSI:RECONDUCTIBLE}}</w:t>
      </w:r>
    </w:p>
    <w:p>
      <w:pPr>
        <w:spacing w:after="120"/>
        <w:jc w:val="both"/>
      </w:pPr>
      <w:r>
        <w:rPr>
          <w:b w:val="off"/>
          <w:sz w:val="22"/>
        </w:rPr>
        <w:t>{{SI:NON-RECONDUCTIBLE}}</w:t>
      </w:r>
    </w:p>
    <w:p>
      <w:pPr>
        <w:spacing w:after="120"/>
        <w:jc w:val="both"/>
      </w:pPr>
      <w:r>
        <w:rPr>
          <w:b w:val="off"/>
          <w:sz w:val="22"/>
        </w:rPr>
        <w:t>La période de validité du contrat n’est pas reconductible.</w:t>
      </w:r>
    </w:p>
    <w:p>
      <w:pPr>
        <w:spacing w:after="120"/>
        <w:jc w:val="both"/>
      </w:pPr>
      <w:r>
        <w:rPr>
          <w:b w:val="off"/>
          <w:sz w:val="22"/>
        </w:rPr>
        <w:t>{{FINSI:NON-RECONDUCTIBLE}}</w:t>
      </w:r>
    </w:p>
    <w:p>
      <w:pPr>
        <w:spacing w:after="160"/>
        <w:jc w:val="left"/>
      </w:pPr>
      <w:r>
        <w:rPr>
          <w:b w:val="on"/>
          <w:sz w:val="22"/>
        </w:rPr>
        <w:t>Allotissement</w:t>
      </w:r>
    </w:p>
    <w:p>
      <w:pPr>
        <w:spacing w:after="120"/>
        <w:jc w:val="both"/>
      </w:pPr>
      <w:r>
        <w:rPr>
          <w:b w:val="off"/>
          <w:sz w:val="22"/>
        </w:rPr>
        <w:t>{{SI:ALLOTI}}</w:t>
      </w:r>
    </w:p>
    <w:p>
      <w:pPr>
        <w:spacing w:after="120"/>
        <w:jc w:val="both"/>
      </w:pPr>
      <w:r>
        <w:rPr>
          <w:b w:val="off"/>
          <w:sz w:val="22"/>
        </w:rPr>
        <w:t>{{B02-AL-02}}</w:t>
      </w:r>
    </w:p>
    <w:p>
      <w:pPr>
        <w:spacing w:after="120"/>
        <w:jc w:val="both"/>
      </w:pPr>
      <w:r>
        <w:rPr>
          <w:b w:val="off"/>
          <w:sz w:val="22"/>
        </w:rPr>
        <w:t>{{FINSI:ALLOTI}}</w:t>
      </w:r>
    </w:p>
    <w:p>
      <w:pPr>
        <w:spacing w:after="120"/>
        <w:jc w:val="both"/>
      </w:pPr>
      <w:r>
        <w:rPr>
          <w:b w:val="off"/>
          <w:sz w:val="22"/>
        </w:rPr>
        <w:t>{{SI:NON-ALLOTI}}</w:t>
      </w:r>
    </w:p>
    <w:p>
      <w:pPr>
        <w:spacing w:after="120"/>
        <w:jc w:val="both"/>
      </w:pPr>
      <w:r>
        <w:rPr>
          <w:b w:val="off"/>
          <w:sz w:val="22"/>
        </w:rPr>
        <w:t>Sans objet.</w:t>
      </w:r>
    </w:p>
    <w:p>
      <w:pPr>
        <w:spacing w:after="120"/>
        <w:jc w:val="both"/>
      </w:pPr>
      <w:r>
        <w:rPr>
          <w:b w:val="off"/>
          <w:sz w:val="22"/>
        </w:rPr>
        <w:t>{{FINSI:NON-ALLOTI}}</w:t>
      </w:r>
    </w:p>
    <w:p>
      <w:pPr>
        <w:spacing w:after="160"/>
        <w:jc w:val="left"/>
      </w:pPr>
      <w:r>
        <w:rPr>
          <w:b w:val="on"/>
          <w:sz w:val="22"/>
        </w:rPr>
        <w:t>Calendrier prévisionnel de la consultation (1) (à titre indicatif)</w:t>
      </w:r>
    </w:p>
    <w:tbl>
      <w:tblPr>
        <w:tblW w:w="5000" w:type="pct"/>
        <w:tblBorders>
          <w:top w:val="single"/>
          <w:left w:val="single"/>
          <w:bottom w:val="single"/>
          <w:right w:val="single"/>
          <w:insideH w:val="single"/>
          <w:insideV w:val="single"/>
        </w:tblBorders>
      </w:tblPr>
      <w:tr>
        <w:tc>
          <w:tcPr>
            <w:tcW w:type="pct" w:w="2500"/>
          </w:tcPr>
          <w:p>
            <w:r>
              <w:rPr>
                <w:sz w:val="20"/>
              </w:rPr>
              <w:t>Date estimative</w:t>
            </w:r>
          </w:p>
        </w:tc>
        <w:tc>
          <w:tcPr>
            <w:tcW w:type="pct" w:w="2500"/>
          </w:tcPr>
          <w:p>
            <w:r>
              <w:rPr>
                <w:sz w:val="20"/>
              </w:rPr>
              <w:t>Etape</w:t>
            </w:r>
          </w:p>
        </w:tc>
      </w:tr>
      <w:tr>
        <w:tc>
          <w:tcPr>
            <w:tcW w:type="pct" w:w="2500"/>
          </w:tcPr>
          <w:p>
            <w:r>
              <w:rPr>
                <w:sz w:val="20"/>
              </w:rPr>
              <w:t>{{B04-CP-02}}</w:t>
            </w:r>
          </w:p>
        </w:tc>
        <w:tc>
          <w:tcPr>
            <w:tcW w:type="pct" w:w="2500"/>
          </w:tcPr>
          <w:p>
            <w:r>
              <w:rPr>
                <w:sz w:val="20"/>
              </w:rPr>
              <w:t>Date limite de réception des offres</w:t>
            </w:r>
          </w:p>
        </w:tc>
      </w:tr>
      <w:tr>
        <w:tc>
          <w:tcPr>
            <w:tcW w:type="pct" w:w="2500"/>
          </w:tcPr>
          <w:p>
            <w:r>
              <w:rPr>
                <w:sz w:val="20"/>
              </w:rPr>
              <w:t>{{B04-CP-06}}</w:t>
            </w:r>
          </w:p>
        </w:tc>
        <w:tc>
          <w:tcPr>
            <w:tcW w:type="pct" w:w="2500"/>
          </w:tcPr>
          <w:p>
            <w:r>
              <w:rPr>
                <w:sz w:val="20"/>
              </w:rPr>
              <w:t>Envoi des demandes d’offres optimisées</w:t>
            </w:r>
          </w:p>
        </w:tc>
      </w:tr>
      <w:tr>
        <w:tc>
          <w:tcPr>
            <w:tcW w:type="pct" w:w="2500"/>
          </w:tcPr>
          <w:p>
            <w:r>
              <w:rPr>
                <w:sz w:val="20"/>
              </w:rPr>
              <w:t>{{B04-CP-07}}</w:t>
            </w:r>
          </w:p>
        </w:tc>
        <w:tc>
          <w:tcPr>
            <w:tcW w:type="pct" w:w="2500"/>
          </w:tcPr>
          <w:p>
            <w:r>
              <w:rPr>
                <w:sz w:val="20"/>
              </w:rPr>
              <w:t>Date limite de réception des offres optimisées</w:t>
            </w:r>
          </w:p>
        </w:tc>
      </w:tr>
      <w:tr>
        <w:tc>
          <w:tcPr>
            <w:tcW w:type="pct" w:w="2500"/>
          </w:tcPr>
          <w:p>
            <w:r>
              <w:rPr>
                <w:sz w:val="20"/>
              </w:rPr>
              <w:t>{{B04-CP-08}}</w:t>
            </w:r>
          </w:p>
        </w:tc>
        <w:tc>
          <w:tcPr>
            <w:tcW w:type="pct" w:w="2500"/>
          </w:tcPr>
          <w:p>
            <w:r>
              <w:rPr>
                <w:sz w:val="20"/>
              </w:rPr>
              <w:t>Envoi des courriers de rejet aux candidats non retenus</w:t>
            </w:r>
          </w:p>
        </w:tc>
      </w:tr>
    </w:tbl>
    <w:p/>
    <w:p>
      <w:pPr>
        <w:spacing w:after="120"/>
        <w:jc w:val="both"/>
      </w:pPr>
      <w:r>
        <w:rPr>
          <w:b w:val="off"/>
          <w:sz w:val="22"/>
        </w:rPr>
        <w:t>La date prévisionnelle de notification du contrat-cadre est fixée à {{B04-CP-05}}.</w:t>
      </w:r>
    </w:p>
    <w:p>
      <w:pPr>
        <w:spacing w:after="160"/>
        <w:jc w:val="left"/>
      </w:pPr>
      <w:r>
        <w:rPr>
          <w:b w:val="on"/>
          <w:sz w:val="22"/>
        </w:rPr>
        <w:t>ARTICLE 3 : DOSSIER DE CONSULTATION (1)</w:t>
      </w:r>
    </w:p>
    <w:p>
      <w:pPr>
        <w:spacing w:after="160"/>
        <w:jc w:val="left"/>
      </w:pPr>
      <w:r>
        <w:rPr>
          <w:b w:val="on"/>
          <w:sz w:val="22"/>
        </w:rPr>
        <w:t>3.1.Contenu du dossier de consultation (1)</w:t>
      </w:r>
    </w:p>
    <w:p>
      <w:pPr>
        <w:spacing w:after="120"/>
        <w:jc w:val="both"/>
      </w:pPr>
      <w:r>
        <w:rPr>
          <w:b w:val="off"/>
          <w:sz w:val="22"/>
        </w:rPr>
        <w:t>Le dossier de consultation(1) contient les pièces suivantes :</w:t>
      </w:r>
    </w:p>
    <w:p>
      <w:pPr>
        <w:spacing w:after="120"/>
        <w:jc w:val="both"/>
      </w:pPr>
      <w:r>
        <w:rPr>
          <w:b w:val="off"/>
          <w:sz w:val="22"/>
        </w:rPr>
        <w:t>-L'avis d'appel public à la concurrence</w:t>
      </w:r>
    </w:p>
    <w:p>
      <w:pPr>
        <w:spacing w:after="120"/>
        <w:jc w:val="both"/>
      </w:pPr>
      <w:r>
        <w:rPr>
          <w:b w:val="off"/>
          <w:sz w:val="22"/>
        </w:rPr>
        <w:t>-Le présent Règlement de la consultation (1) et (éventuellement) son annexe;</w:t>
      </w:r>
    </w:p>
    <w:p>
      <w:pPr>
        <w:spacing w:after="120"/>
        <w:jc w:val="both"/>
      </w:pPr>
      <w:r>
        <w:rPr>
          <w:b w:val="off"/>
          <w:sz w:val="22"/>
        </w:rPr>
        <w:t>- La lettre de soumission du candidat</w:t>
      </w:r>
    </w:p>
    <w:p>
      <w:pPr>
        <w:spacing w:after="120"/>
        <w:jc w:val="both"/>
      </w:pPr>
      <w:r>
        <w:rPr>
          <w:b w:val="off"/>
          <w:sz w:val="22"/>
        </w:rPr>
        <w:t>-Le projet de contrat-cadre et ses annexes, notamment :</w:t>
      </w:r>
    </w:p>
    <w:p>
      <w:pPr>
        <w:spacing w:after="120"/>
        <w:jc w:val="both"/>
      </w:pPr>
      <w:r>
        <w:rPr>
          <w:b w:val="off"/>
          <w:sz w:val="22"/>
        </w:rPr>
        <w:t>les actes d'engagement (AE) et leurs annexes</w:t>
      </w:r>
    </w:p>
    <w:p>
      <w:pPr>
        <w:spacing w:after="120"/>
        <w:jc w:val="both"/>
      </w:pPr>
      <w:r>
        <w:rPr>
          <w:b w:val="off"/>
          <w:sz w:val="22"/>
        </w:rPr>
        <w:t>le cahier des clauses administratives particulières (CCAP)</w:t>
      </w:r>
    </w:p>
    <w:p>
      <w:pPr>
        <w:spacing w:after="120"/>
        <w:jc w:val="both"/>
      </w:pPr>
      <w:r>
        <w:rPr>
          <w:b w:val="off"/>
          <w:sz w:val="22"/>
        </w:rPr>
        <w:t>le document portant clauses techniques particulières ou son équivalent, et ses annexes</w:t>
      </w:r>
    </w:p>
    <w:p>
      <w:pPr>
        <w:spacing w:after="120"/>
        <w:jc w:val="both"/>
      </w:pPr>
      <w:r>
        <w:rPr>
          <w:b w:val="off"/>
          <w:sz w:val="22"/>
        </w:rPr>
        <w:t>{{B04-DS-01}}</w:t>
      </w:r>
    </w:p>
    <w:p>
      <w:pPr>
        <w:spacing w:after="160"/>
        <w:jc w:val="left"/>
      </w:pPr>
      <w:r>
        <w:rPr>
          <w:b w:val="on"/>
          <w:sz w:val="22"/>
        </w:rPr>
        <w:t>3.2.Langue de rédaction du dossier de consultation (1)</w:t>
      </w:r>
    </w:p>
    <w:p>
      <w:pPr>
        <w:spacing w:after="120"/>
        <w:jc w:val="both"/>
      </w:pPr>
      <w:r>
        <w:rPr>
          <w:b w:val="off"/>
          <w:sz w:val="22"/>
        </w:rPr>
        <w:t>Le Dossier complet, rédigé en langue française, peut être consulté par tout candidat désirant prendre connaissance ou obtenir des informations à l’adresse ci-après :</w:t>
      </w:r>
    </w:p>
    <w:p>
      <w:pPr>
        <w:spacing w:after="120"/>
        <w:jc w:val="both"/>
      </w:pPr>
      <w:r>
        <w:rPr>
          <w:b w:val="off"/>
          <w:sz w:val="22"/>
        </w:rPr>
        <w:t>Nom du Responsable : {{B04-DS-07}}</w:t>
      </w:r>
    </w:p>
    <w:p>
      <w:pPr>
        <w:spacing w:after="120"/>
        <w:jc w:val="both"/>
      </w:pPr>
      <w:r>
        <w:rPr>
          <w:b w:val="off"/>
          <w:sz w:val="22"/>
        </w:rPr>
        <w:t>Fonction : {{B04-DS-08}}</w:t>
      </w:r>
    </w:p>
    <w:p>
      <w:pPr>
        <w:spacing w:after="120"/>
        <w:jc w:val="both"/>
      </w:pPr>
      <w:r>
        <w:rPr>
          <w:b w:val="off"/>
          <w:sz w:val="22"/>
        </w:rPr>
        <w:t>Bureau, N° porte, étage : {{B04-DS-09}}</w:t>
      </w:r>
    </w:p>
    <w:p>
      <w:pPr>
        <w:spacing w:after="120"/>
        <w:jc w:val="both"/>
      </w:pPr>
      <w:r>
        <w:rPr>
          <w:b w:val="off"/>
          <w:sz w:val="22"/>
        </w:rPr>
        <w:t>Localité : {{B04-DS-10}}</w:t>
      </w:r>
    </w:p>
    <w:p>
      <w:pPr>
        <w:spacing w:after="160"/>
        <w:jc w:val="left"/>
      </w:pPr>
      <w:r>
        <w:rPr>
          <w:b w:val="on"/>
          <w:sz w:val="22"/>
        </w:rPr>
        <w:t>3. 3.Modalités d’acquisition du dossier de consultation (1)</w:t>
      </w:r>
    </w:p>
    <w:p>
      <w:pPr>
        <w:spacing w:after="120"/>
        <w:jc w:val="both"/>
      </w:pPr>
      <w:r>
        <w:rPr>
          <w:b w:val="off"/>
          <w:sz w:val="22"/>
        </w:rPr>
        <w:t>Pour tout candidat désirant soumissionner, le règlement de la consultation (1) est retiré auprès de {{B04-DS-04}} moyennant le paiement d’un montant non remboursable de {{B04-DS-05.lettres}} ({{B04-DS-05}}) libellé au nom de l’Agent comptable de l’ARMP ou au nom du régisseur de recettes de l’ARMP.</w:t>
      </w:r>
    </w:p>
    <w:p>
      <w:pPr>
        <w:spacing w:after="160"/>
        <w:jc w:val="left"/>
      </w:pPr>
      <w:r>
        <w:rPr>
          <w:b w:val="on"/>
          <w:sz w:val="22"/>
        </w:rPr>
        <w:t>3.4.Modification du dossier de consultation (1)</w:t>
      </w:r>
    </w:p>
    <w:p>
      <w:pPr>
        <w:spacing w:after="120"/>
        <w:jc w:val="both"/>
      </w:pPr>
      <w:r>
        <w:rPr>
          <w:b w:val="off"/>
          <w:sz w:val="22"/>
        </w:rPr>
        <w:t>L’Autorité contractante se réserve le droit d'apporter des modifications de détail au dossier de consultation(1) au plus tard 6 jours avant la date limite de réception des offres. Ce délai est décompté à partir de la date d'envoi par l’Autorité contractante des modifications aux candidats ayant retiré le dossier initial. Les candidats devront alors répondre sur la base du dossier modifié sans pouvoir élever de réclamation à ce sujet.</w:t>
      </w:r>
    </w:p>
    <w:p>
      <w:pPr>
        <w:spacing w:after="120"/>
        <w:jc w:val="both"/>
      </w:pPr>
      <w:r>
        <w:rPr>
          <w:b w:val="off"/>
          <w:sz w:val="22"/>
        </w:rPr>
        <w:t>Si la date limite de réception des offres est reportée, la disposition précédente est applicable en fonction de cette nouvelle date.</w:t>
      </w:r>
    </w:p>
    <w:p>
      <w:pPr>
        <w:spacing w:after="160"/>
        <w:jc w:val="left"/>
      </w:pPr>
      <w:r>
        <w:rPr>
          <w:b w:val="on"/>
          <w:sz w:val="22"/>
        </w:rPr>
        <w:t>ARTICLE 4 : PRESENTATION DES OFFRES</w:t>
      </w:r>
    </w:p>
    <w:p>
      <w:pPr>
        <w:spacing w:after="120"/>
        <w:jc w:val="both"/>
      </w:pPr>
      <w:r>
        <w:rPr>
          <w:b w:val="off"/>
          <w:sz w:val="22"/>
        </w:rPr>
        <w:t>Les soumissionnaires remettent un dossier complet comprenant les pièces mentionnées ci-après. Les documents demandés doivent être signés par le soumissionnaire, le mandataire du groupement momentané d'entreprise ou chacun des membres de ce même groupement.</w:t>
      </w:r>
    </w:p>
    <w:p>
      <w:pPr>
        <w:spacing w:after="160"/>
        <w:jc w:val="left"/>
      </w:pPr>
      <w:r>
        <w:rPr>
          <w:b w:val="on"/>
          <w:sz w:val="22"/>
        </w:rPr>
        <w:t>4.1.Pièces constitutives de la candidature (capacités technique et professionnelle) :</w:t>
      </w:r>
    </w:p>
    <w:p>
      <w:pPr>
        <w:spacing w:after="120"/>
        <w:jc w:val="both"/>
      </w:pPr>
      <w:r>
        <w:rPr>
          <w:b w:val="off"/>
          <w:sz w:val="22"/>
        </w:rPr>
        <w:t>{{B04-PO-01}}</w:t>
      </w:r>
    </w:p>
    <w:p>
      <w:pPr>
        <w:spacing w:after="160"/>
        <w:jc w:val="left"/>
      </w:pPr>
      <w:r>
        <w:rPr>
          <w:b w:val="on"/>
          <w:sz w:val="22"/>
        </w:rPr>
        <w:t>4.2.Pièces constitutives de l’offre :</w:t>
      </w:r>
    </w:p>
    <w:p>
      <w:pPr>
        <w:spacing w:after="120"/>
        <w:jc w:val="both"/>
      </w:pPr>
      <w:r>
        <w:rPr>
          <w:b w:val="off"/>
          <w:sz w:val="22"/>
        </w:rPr>
        <w:t>{{B04-PO-02}}</w:t>
      </w:r>
    </w:p>
    <w:p>
      <w:pPr>
        <w:spacing w:after="160"/>
        <w:jc w:val="left"/>
      </w:pPr>
      <w:r>
        <w:rPr>
          <w:b w:val="on"/>
          <w:sz w:val="22"/>
        </w:rPr>
        <w:t>ARTICLE 5 : MODALITES DE REMISE DES OFFRES</w:t>
      </w:r>
    </w:p>
    <w:p>
      <w:pPr>
        <w:spacing w:after="160"/>
        <w:jc w:val="left"/>
      </w:pPr>
      <w:r>
        <w:rPr>
          <w:b w:val="on"/>
          <w:sz w:val="22"/>
        </w:rPr>
        <w:t>5.1 - Transmission sous support papier</w:t>
      </w:r>
    </w:p>
    <w:p>
      <w:pPr>
        <w:spacing w:after="120"/>
        <w:jc w:val="both"/>
      </w:pPr>
      <w:r>
        <w:rPr>
          <w:b w:val="off"/>
          <w:sz w:val="22"/>
        </w:rPr>
        <w:t>{{B04-RQ-01}}</w:t>
      </w:r>
    </w:p>
    <w:p>
      <w:pPr>
        <w:spacing w:after="120"/>
        <w:jc w:val="both"/>
      </w:pPr>
      <w:r>
        <w:rPr>
          <w:b w:val="off"/>
          <w:sz w:val="22"/>
        </w:rPr>
        <w:t>Les candidats transmettent leur offre sous pli cacheté portant les mentions :</w:t>
      </w:r>
    </w:p>
    <w:p>
      <w:pPr>
        <w:spacing w:after="120"/>
        <w:jc w:val="both"/>
      </w:pPr>
      <w:r>
        <w:rPr>
          <w:b w:val="off"/>
          <w:sz w:val="22"/>
        </w:rPr>
        <w:t>Offre pour : {{B04-RQ-02}}</w:t>
      </w:r>
    </w:p>
    <w:p>
      <w:pPr>
        <w:spacing w:after="120"/>
        <w:jc w:val="center"/>
      </w:pPr>
      <w:r>
        <w:rPr>
          <w:b w:val="off"/>
          <w:sz w:val="22"/>
        </w:rPr>
        <w:t>NE PAS OUVRIR QU’EN SEANCE D’OUVERTURE DES PLIS</w:t>
      </w:r>
    </w:p>
    <w:p>
      <w:pPr>
        <w:spacing w:after="120"/>
        <w:jc w:val="both"/>
      </w:pPr>
      <w:r>
        <w:rPr>
          <w:b w:val="off"/>
          <w:sz w:val="22"/>
        </w:rPr>
        <w:t>Ce pli doit contenir les pièces de la candidature et les pièces de l'offre définies au présent règlement de la consultation. Il devra être remis contre récépissé ou envoyé par pli recommandé avec avis de réception, à l'adresse suivante : {{B04-RQ-03}}</w:t>
      </w:r>
    </w:p>
    <w:p>
      <w:pPr>
        <w:spacing w:after="120"/>
        <w:jc w:val="both"/>
      </w:pPr>
      <w:r>
        <w:rPr>
          <w:b w:val="off"/>
          <w:sz w:val="22"/>
        </w:rPr>
        <w:t>Les plis qui seraient remis ou dont l'avis de réception serait délivré après la date et l'heure limites précitées ainsi que remis sous enveloppe non cachetée, ne seront pas retenus.</w:t>
      </w:r>
    </w:p>
    <w:p>
      <w:pPr>
        <w:spacing w:after="160"/>
        <w:jc w:val="left"/>
      </w:pPr>
      <w:r>
        <w:rPr>
          <w:b w:val="on"/>
          <w:sz w:val="22"/>
        </w:rPr>
        <w:t>5.2 - Transmission électronique</w:t>
      </w:r>
    </w:p>
    <w:p>
      <w:pPr>
        <w:spacing w:after="120"/>
        <w:jc w:val="both"/>
      </w:pPr>
      <w:r>
        <w:rPr>
          <w:b w:val="off"/>
          <w:sz w:val="22"/>
        </w:rPr>
        <w:t>{{SI:PAPIER}}</w:t>
      </w:r>
    </w:p>
    <w:p>
      <w:pPr>
        <w:spacing w:after="120"/>
        <w:jc w:val="both"/>
      </w:pPr>
      <w:r>
        <w:rPr>
          <w:b w:val="off"/>
          <w:sz w:val="22"/>
        </w:rPr>
        <w:t>La transmission de dossiers par voie électronique n’est pas admise</w:t>
      </w:r>
    </w:p>
    <w:p>
      <w:pPr>
        <w:spacing w:after="120"/>
        <w:jc w:val="both"/>
      </w:pPr>
      <w:r>
        <w:rPr>
          <w:b w:val="off"/>
          <w:sz w:val="22"/>
        </w:rPr>
        <w:t>{{FINSI:PAPIER}}</w:t>
      </w:r>
    </w:p>
    <w:p>
      <w:pPr>
        <w:spacing w:after="120"/>
        <w:jc w:val="both"/>
      </w:pPr>
      <w:r>
        <w:rPr>
          <w:b w:val="off"/>
          <w:sz w:val="22"/>
        </w:rPr>
        <w:t>{{SI:B04-SE}}</w:t>
      </w:r>
    </w:p>
    <w:p>
      <w:pPr>
        <w:spacing w:after="120"/>
        <w:jc w:val="both"/>
      </w:pPr>
      <w:r>
        <w:rPr>
          <w:b w:val="off"/>
          <w:sz w:val="22"/>
        </w:rPr>
        <w:t>La transmission par voie électronique est admise dans les conditions suivantes</w:t>
      </w:r>
    </w:p>
    <w:p>
      <w:pPr>
        <w:spacing w:after="120"/>
        <w:jc w:val="both"/>
      </w:pPr>
      <w:r>
        <w:rPr>
          <w:b w:val="off"/>
          <w:sz w:val="22"/>
        </w:rPr>
        <w:t>[[CLAUSE À FOURNIR PAR LE JURISTE : conditions de la transmission électronique — plateforme ({{B04-SE-02}}), heure de référence ({{B04-SE-04}}), signature exigée ({{B04-SE-05}}), formats ({{B04-SE-07}}) et tailles admis ({{B04-SE-08}} Mo par fichier, {{B04-SE-09}} Mo par offre), assistance ({{B04-SE-14}}), indisponibilité et prorogation ({{B04-SE-12}} h, {{B04-SE-13}} jours ouvrables)]]</w:t>
      </w:r>
    </w:p>
    <w:p>
      <w:pPr>
        <w:spacing w:after="120"/>
        <w:jc w:val="both"/>
      </w:pPr>
      <w:r>
        <w:rPr>
          <w:b w:val="off"/>
          <w:sz w:val="22"/>
        </w:rPr>
        <w:t>Même si l’offre du candidat à la présente procédure a fait l'objet d'une transmission électronique, le candidat s'engage, notamment dans le cas où son offre est retenue, à accepter la re-matérialisation conforme, sous forme papier, de tous les documents constitutifs à valeur contractuelle. A ce titre, il s'engage également à ce que la personne physique auteur de leur signature électronique procède à leur signature manuscrite sans procéder à la moindre modification de ceux-ci et les renvoie à l’Autorité contractante sous cette forme. Il s'engage enfin à en accepter la notification, selon les procédés habituellement en cours, sous forme papier.</w:t>
      </w:r>
    </w:p>
    <w:p>
      <w:pPr>
        <w:spacing w:after="120"/>
        <w:jc w:val="both"/>
      </w:pPr>
      <w:r>
        <w:rPr>
          <w:b w:val="off"/>
          <w:sz w:val="22"/>
        </w:rPr>
        <w:t>{{FINSI:B04-SE}}</w:t>
      </w:r>
    </w:p>
    <w:p>
      <w:pPr>
        <w:spacing w:after="160"/>
        <w:jc w:val="left"/>
      </w:pPr>
      <w:r>
        <w:rPr>
          <w:b w:val="on"/>
          <w:sz w:val="22"/>
        </w:rPr>
        <w:t>ARTICLE 6 : EXAMEN DES CANDIDATURES ET DES OFFRES</w:t>
      </w:r>
    </w:p>
    <w:p>
      <w:pPr>
        <w:spacing w:after="160"/>
        <w:jc w:val="left"/>
      </w:pPr>
      <w:r>
        <w:rPr>
          <w:b w:val="on"/>
          <w:sz w:val="22"/>
        </w:rPr>
        <w:t>6.1 - Sélection des candidatures</w:t>
      </w:r>
    </w:p>
    <w:p>
      <w:pPr>
        <w:spacing w:after="120"/>
        <w:jc w:val="both"/>
      </w:pPr>
      <w:r>
        <w:rPr>
          <w:b w:val="off"/>
          <w:sz w:val="22"/>
        </w:rPr>
        <w:t>6.1.1. Les plis seront ouverts par le Représentant de l’Autorité contractante.</w:t>
      </w:r>
    </w:p>
    <w:p>
      <w:pPr>
        <w:spacing w:after="120"/>
        <w:jc w:val="both"/>
      </w:pPr>
      <w:r>
        <w:rPr>
          <w:b w:val="off"/>
          <w:sz w:val="22"/>
        </w:rPr>
        <w:t>La séance d'ouverture des plis est publique, les candidats ou leurs représentants sont admis à y assister. Seuls peuvent être ouverts les plis qui ont été reçus dans les conditions prévues ci-dessus au plus tard à la date et à l’heure qui a été fixées pour la réception des offres.</w:t>
      </w:r>
    </w:p>
    <w:p>
      <w:pPr>
        <w:spacing w:after="120"/>
        <w:jc w:val="both"/>
      </w:pPr>
      <w:r>
        <w:rPr>
          <w:b w:val="off"/>
          <w:sz w:val="22"/>
        </w:rPr>
        <w:t>Avant de procéder à l'examen des candidatures, si l'on constate que des pièces du dossier de candidature sont manquantes ou incomplètes, l’Autorité contractante peut décider de demander à tous les candidats concernés de produire ou compléter ces pièces dans un délai maximum de 10 jours. Les autres candidats, qui ont la possibilité de compléter leur candidature, en seront informés dans le même délai.</w:t>
      </w:r>
    </w:p>
    <w:p>
      <w:pPr>
        <w:spacing w:after="120"/>
        <w:jc w:val="both"/>
      </w:pPr>
      <w:r>
        <w:rPr>
          <w:b w:val="off"/>
          <w:sz w:val="22"/>
        </w:rPr>
        <w:t>Les candidatures conformes et recevables seront examinées, à partir des seuls renseignements et documents exigés dans le cadre de cette consultation(1), pour évaluer leur situation juridique ainsi que leurs capacités professionnelles, techniques et financières.</w:t>
      </w:r>
    </w:p>
    <w:p>
      <w:pPr>
        <w:spacing w:after="160"/>
        <w:jc w:val="left"/>
      </w:pPr>
      <w:r>
        <w:rPr>
          <w:b w:val="on"/>
          <w:sz w:val="22"/>
        </w:rPr>
        <w:t>6.1.2. Critères d’élimination des candidatures :</w:t>
      </w:r>
    </w:p>
    <w:p>
      <w:pPr>
        <w:spacing w:after="120"/>
        <w:jc w:val="both"/>
      </w:pPr>
      <w:r>
        <w:rPr>
          <w:b w:val="off"/>
          <w:sz w:val="22"/>
        </w:rPr>
        <w:t>{{B06-SC-02}}</w:t>
      </w:r>
    </w:p>
    <w:p>
      <w:pPr>
        <w:spacing w:after="160"/>
        <w:jc w:val="left"/>
      </w:pPr>
      <w:r>
        <w:rPr>
          <w:b w:val="on"/>
          <w:sz w:val="22"/>
        </w:rPr>
        <w:t>6.2. La procédure de sélection des offres</w:t>
      </w:r>
    </w:p>
    <w:p>
      <w:pPr>
        <w:spacing w:after="120"/>
        <w:jc w:val="both"/>
      </w:pPr>
      <w:r>
        <w:rPr>
          <w:b w:val="off"/>
          <w:sz w:val="22"/>
        </w:rPr>
        <w:t>La procédure de sélection des offres se déroule selon les modalités suivantes:</w:t>
      </w:r>
    </w:p>
    <w:p>
      <w:pPr>
        <w:spacing w:after="160"/>
        <w:jc w:val="left"/>
      </w:pPr>
      <w:r>
        <w:rPr>
          <w:b w:val="on"/>
          <w:sz w:val="22"/>
        </w:rPr>
        <w:t>1. Rejet des offres hors-délais - Ouverture des offres</w:t>
      </w:r>
    </w:p>
    <w:p>
      <w:pPr>
        <w:spacing w:after="120"/>
        <w:jc w:val="both"/>
      </w:pPr>
      <w:r>
        <w:rPr>
          <w:b w:val="off"/>
          <w:sz w:val="22"/>
        </w:rPr>
        <w:t>Le représentant de l’autorité contractante écarte les offres reçues hors délai.</w:t>
      </w:r>
    </w:p>
    <w:p>
      <w:pPr>
        <w:spacing w:after="160"/>
        <w:jc w:val="left"/>
      </w:pPr>
      <w:r>
        <w:rPr>
          <w:b w:val="on"/>
          <w:sz w:val="22"/>
        </w:rPr>
        <w:t>2. Analyse des offres</w:t>
      </w:r>
    </w:p>
    <w:p>
      <w:pPr>
        <w:spacing w:after="120"/>
        <w:jc w:val="both"/>
      </w:pPr>
      <w:r>
        <w:rPr>
          <w:b w:val="off"/>
          <w:sz w:val="22"/>
        </w:rPr>
        <w:t>Le comité d’évaluation procède à l'analyse des offres des soumissionnaires retenus.</w:t>
      </w:r>
    </w:p>
    <w:p>
      <w:pPr>
        <w:spacing w:after="160"/>
        <w:jc w:val="left"/>
      </w:pPr>
      <w:r>
        <w:rPr>
          <w:b w:val="on"/>
          <w:sz w:val="22"/>
        </w:rPr>
        <w:t>3. Rejet des offres non recevables.</w:t>
      </w:r>
    </w:p>
    <w:p>
      <w:pPr>
        <w:spacing w:after="120"/>
        <w:jc w:val="both"/>
      </w:pPr>
      <w:r>
        <w:rPr>
          <w:b w:val="off"/>
          <w:sz w:val="22"/>
        </w:rPr>
        <w:t>Le comité d’évaluation rejette les offres inappropriées, inacceptables ou irrégulières.</w:t>
      </w:r>
    </w:p>
    <w:p>
      <w:pPr>
        <w:spacing w:after="160"/>
        <w:jc w:val="left"/>
      </w:pPr>
      <w:r>
        <w:rPr>
          <w:b w:val="on"/>
          <w:sz w:val="22"/>
        </w:rPr>
        <w:t>4. Comparaison des offres pour la sélection de l’offre économiquement la plus avantageuse</w:t>
      </w:r>
    </w:p>
    <w:p>
      <w:pPr>
        <w:spacing w:after="120"/>
        <w:jc w:val="both"/>
      </w:pPr>
      <w:r>
        <w:rPr>
          <w:b w:val="off"/>
          <w:sz w:val="22"/>
        </w:rPr>
        <w:t>{{B06-SO-05}}</w:t>
      </w:r>
    </w:p>
    <w:p>
      <w:pPr>
        <w:spacing w:after="160"/>
        <w:jc w:val="left"/>
      </w:pPr>
      <w:r>
        <w:rPr>
          <w:b w:val="on"/>
          <w:sz w:val="22"/>
        </w:rPr>
        <w:t>ARTICLE 7 : CRITÈRES D’ATTRIBUTION DU CONTRAT-CADRE</w:t>
      </w:r>
    </w:p>
    <w:p>
      <w:pPr>
        <w:spacing w:after="120"/>
        <w:jc w:val="both"/>
      </w:pPr>
      <w:r>
        <w:rPr>
          <w:b w:val="off"/>
          <w:sz w:val="22"/>
        </w:rPr>
        <w:t>{{B06-CA-01}}</w:t>
      </w:r>
    </w:p>
    <w:p>
      <w:pPr>
        <w:spacing w:after="120"/>
        <w:jc w:val="both"/>
      </w:pPr>
      <w:r>
        <w:rPr>
          <w:b w:val="off"/>
          <w:sz w:val="22"/>
        </w:rPr>
        <w:t>L’Autorité contractante peut ne pas donner suite à la consultation(1) pour tout motif d'intérêt général.</w:t>
      </w:r>
    </w:p>
    <w:p>
      <w:pPr>
        <w:spacing w:after="160"/>
        <w:jc w:val="left"/>
      </w:pPr>
      <w:r>
        <w:rPr>
          <w:b w:val="on"/>
          <w:sz w:val="22"/>
        </w:rPr>
        <w:t>ARTICLE 8 : LANGUE DE LA CONSULTATION (1) – UNITE MONETAIRE</w:t>
      </w:r>
    </w:p>
    <w:p>
      <w:pPr>
        <w:spacing w:after="120"/>
        <w:jc w:val="both"/>
      </w:pPr>
      <w:r>
        <w:rPr>
          <w:b w:val="off"/>
          <w:sz w:val="22"/>
        </w:rPr>
        <w:t>{{SI:SANS-DEVISE}}</w:t>
      </w:r>
    </w:p>
    <w:p>
      <w:pPr>
        <w:spacing w:after="120"/>
        <w:jc w:val="both"/>
      </w:pPr>
      <w:r>
        <w:rPr>
          <w:b w:val="off"/>
          <w:sz w:val="22"/>
        </w:rPr>
        <w:t>L’offre des candidats ainsi que l’ensemble des documents de la présente consultation(1) doivent être rédigés en langue française et exprimées en Ariary. Si les offres des candidats sont rédigées dans une autre langue, elles doivent être accompagnées d'une traduction en français. Cette traduction doit concerner l'ensemble des documents remis dans l'offre. L’Autorité contractante conclura les marchés en Ariary.</w:t>
      </w:r>
    </w:p>
    <w:p>
      <w:pPr>
        <w:spacing w:after="120"/>
        <w:jc w:val="both"/>
      </w:pPr>
      <w:r>
        <w:rPr>
          <w:b w:val="off"/>
          <w:sz w:val="22"/>
        </w:rPr>
        <w:t>{{FINSI:SANS-DEVISE}}</w:t>
      </w:r>
    </w:p>
    <w:p>
      <w:pPr>
        <w:spacing w:after="120"/>
        <w:jc w:val="both"/>
      </w:pPr>
      <w:r>
        <w:rPr>
          <w:b w:val="off"/>
          <w:sz w:val="22"/>
        </w:rPr>
        <w:t>{{SI:DEVISE}}</w:t>
      </w:r>
    </w:p>
    <w:p>
      <w:pPr>
        <w:spacing w:after="120"/>
        <w:jc w:val="both"/>
      </w:pPr>
      <w:r>
        <w:rPr>
          <w:b w:val="off"/>
          <w:sz w:val="22"/>
        </w:rPr>
        <w:t>L’offre des candidats ainsi que l’ensemble des documents de la présente consultation(1) doivent être rédigés en langue française et exprimées en Ariary (ou en {{B05-UM-01}}). Si les offres des candidats sont rédigées dans une autre langue, elles doivent être accompagnées d'une traduction en français. Cette traduction doit concerner l'ensemble des documents remis dans l'offre. L’Autorité contractante conclura les marchés en Ariary (ou en {{B05-UM-01}}).</w:t>
      </w:r>
    </w:p>
    <w:p>
      <w:pPr>
        <w:spacing w:after="120"/>
        <w:jc w:val="both"/>
      </w:pPr>
      <w:r>
        <w:rPr>
          <w:b w:val="off"/>
          <w:sz w:val="22"/>
        </w:rPr>
        <w:t>{{FINSI:DEVISE}}</w:t>
      </w:r>
    </w:p>
    <w:p>
      <w:pPr>
        <w:spacing w:after="160"/>
        <w:jc w:val="left"/>
      </w:pPr>
      <w:r>
        <w:rPr>
          <w:b w:val="on"/>
          <w:sz w:val="22"/>
        </w:rPr>
        <w:t>ARTICLE 9 : PASSATION DES MARCHÉS SUBSÉQUENTS</w:t>
      </w:r>
    </w:p>
    <w:p>
      <w:pPr>
        <w:spacing w:after="120"/>
        <w:jc w:val="both"/>
      </w:pPr>
      <w:r>
        <w:rPr>
          <w:b w:val="off"/>
          <w:sz w:val="22"/>
        </w:rPr>
        <w:t>{{SI:RC-BESOIN}}</w:t>
      </w:r>
    </w:p>
    <w:p>
      <w:pPr>
        <w:spacing w:after="120"/>
        <w:jc w:val="both"/>
      </w:pPr>
      <w:r>
        <w:rPr>
          <w:b w:val="off"/>
          <w:sz w:val="22"/>
        </w:rPr>
        <w:t>Pendant la durée du contrat-cadre, les marchés subséquents sont attribués après mise en concurrence de tous les titulaires du contrat-cadre lors de la survenance du besoin.</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Pendant la durée du contrat-cadre, les marchés subséquents sont attribués après mise en concurrence de tous les titulaires du contrat-cadre selon le calendrier fixé à l'article premier du présent contrat-cadre.</w:t>
      </w:r>
    </w:p>
    <w:p>
      <w:pPr>
        <w:spacing w:after="120"/>
        <w:jc w:val="both"/>
      </w:pPr>
      <w:r>
        <w:rPr>
          <w:b w:val="off"/>
          <w:sz w:val="22"/>
        </w:rPr>
        <w:t>{{FINSI:RC-CALENDRIER}}</w:t>
      </w:r>
    </w:p>
    <w:p>
      <w:pPr>
        <w:spacing w:after="120"/>
        <w:jc w:val="both"/>
      </w:pPr>
      <w:r>
        <w:rPr>
          <w:b w:val="off"/>
          <w:sz w:val="22"/>
        </w:rPr>
        <w:t>La mise en compétition des titulaires du contrat-cadre se feront par le biais d’une lettre d’invitation, sous forme de demande de devis ou de facture pro-forma, adressée par l’Autorité contractante. Le devis ou la facture pro-forma devra parvenir à {{B07-PS-02}} dans un délai de {{B07-PS-03}} heures ouvrées, par courrier postal ou remis en main propre contre récépissé.</w:t>
      </w:r>
    </w:p>
    <w:p>
      <w:pPr>
        <w:spacing w:after="120"/>
        <w:jc w:val="both"/>
      </w:pPr>
      <w:r>
        <w:rPr>
          <w:b w:val="off"/>
          <w:sz w:val="22"/>
        </w:rPr>
        <w:t>A défaut, le titulaire du contrat-cadre sera réputé ne pas avoir répondu. En l’absence de trois réponses consécutives et sauf cas de force majeure dûment justifiée, le titulaire sera exclu du contrat-cadre.</w:t>
      </w:r>
    </w:p>
    <w:p>
      <w:pPr>
        <w:spacing w:after="120"/>
        <w:jc w:val="both"/>
      </w:pPr>
      <w:r>
        <w:rPr>
          <w:b w:val="off"/>
          <w:sz w:val="22"/>
        </w:rPr>
        <w:t>La demande de devis ou de facture pro-forma précisera :</w:t>
      </w:r>
    </w:p>
    <w:p>
      <w:pPr>
        <w:spacing w:after="120"/>
        <w:jc w:val="both"/>
      </w:pPr>
      <w:r>
        <w:rPr>
          <w:b w:val="off"/>
          <w:sz w:val="22"/>
        </w:rPr>
        <w:t>La nature et la quantité du besoin</w:t>
      </w:r>
    </w:p>
    <w:p>
      <w:pPr>
        <w:spacing w:after="120"/>
        <w:jc w:val="both"/>
      </w:pPr>
      <w:r>
        <w:rPr>
          <w:b w:val="off"/>
          <w:sz w:val="22"/>
        </w:rPr>
        <w:t>L’adresse du site de livraison</w:t>
      </w:r>
    </w:p>
    <w:p>
      <w:pPr>
        <w:spacing w:after="120"/>
        <w:jc w:val="both"/>
      </w:pPr>
      <w:r>
        <w:rPr>
          <w:b w:val="off"/>
          <w:sz w:val="22"/>
        </w:rPr>
        <w:t>Le(s) critère(s) pondéré(s) de jugement choisis dans la liste suivante : prix, qualité de la fourniture, réduction du délai de livraison, caractère innovant)</w:t>
      </w:r>
    </w:p>
    <w:p>
      <w:pPr>
        <w:spacing w:after="120"/>
        <w:jc w:val="both"/>
      </w:pPr>
      <w:r>
        <w:rPr>
          <w:b w:val="off"/>
          <w:sz w:val="22"/>
        </w:rPr>
        <w:t>Le cas échéant d’autres documents techniques</w:t>
      </w:r>
    </w:p>
    <w:p>
      <w:pPr>
        <w:spacing w:after="120"/>
        <w:jc w:val="both"/>
      </w:pPr>
      <w:r>
        <w:rPr>
          <w:b w:val="off"/>
          <w:sz w:val="22"/>
        </w:rPr>
        <w:t>Critère(s) pondéré(s) de jugement: ceux indiqués sur la demande devis ou de facture pro-forma</w:t>
      </w:r>
    </w:p>
    <w:p>
      <w:pPr>
        <w:spacing w:after="120"/>
        <w:jc w:val="both"/>
      </w:pPr>
      <w:r>
        <w:rPr>
          <w:b w:val="off"/>
          <w:sz w:val="22"/>
        </w:rPr>
        <w:t>Le devis ou la facture pro-forma précisera :</w:t>
      </w:r>
    </w:p>
    <w:p>
      <w:pPr>
        <w:spacing w:after="120"/>
        <w:jc w:val="both"/>
      </w:pPr>
      <w:r>
        <w:rPr>
          <w:b w:val="off"/>
          <w:sz w:val="22"/>
        </w:rPr>
        <w:t>La référence du chaque produit</w:t>
      </w:r>
    </w:p>
    <w:p>
      <w:pPr>
        <w:spacing w:after="120"/>
        <w:jc w:val="both"/>
      </w:pPr>
      <w:r>
        <w:rPr>
          <w:b w:val="off"/>
          <w:sz w:val="22"/>
        </w:rPr>
        <w:t>Le type de matériel</w:t>
      </w:r>
    </w:p>
    <w:p>
      <w:pPr>
        <w:spacing w:after="120"/>
        <w:jc w:val="both"/>
      </w:pPr>
      <w:r>
        <w:rPr>
          <w:b w:val="off"/>
          <w:sz w:val="22"/>
        </w:rPr>
        <w:t>Les quantités</w:t>
      </w:r>
    </w:p>
    <w:p>
      <w:pPr>
        <w:spacing w:after="120"/>
        <w:jc w:val="both"/>
      </w:pPr>
      <w:r>
        <w:rPr>
          <w:b w:val="off"/>
          <w:sz w:val="22"/>
        </w:rPr>
        <w:t>Le prix unitaire et le prix total pour chaque produit HT</w:t>
      </w:r>
    </w:p>
    <w:p>
      <w:pPr>
        <w:spacing w:after="120"/>
        <w:jc w:val="both"/>
      </w:pPr>
      <w:r>
        <w:rPr>
          <w:b w:val="off"/>
          <w:sz w:val="22"/>
        </w:rPr>
        <w:t>Le montant total remisé HT de la commande</w:t>
      </w:r>
    </w:p>
    <w:p>
      <w:pPr>
        <w:spacing w:after="120"/>
        <w:jc w:val="both"/>
      </w:pPr>
      <w:r>
        <w:rPr>
          <w:b w:val="off"/>
          <w:sz w:val="22"/>
        </w:rPr>
        <w:t>Le montant TTC de la commande</w:t>
      </w:r>
    </w:p>
    <w:p>
      <w:pPr>
        <w:spacing w:after="120"/>
        <w:jc w:val="both"/>
      </w:pPr>
      <w:r>
        <w:rPr>
          <w:b w:val="off"/>
          <w:sz w:val="22"/>
        </w:rPr>
        <w:t>Le devis ou la facture pro-forma devra répondre strictement aux renseignements sollicités dans la demande de devis. Pour les devis ou factures pro-forma incomplets, le candidat devra les compléter dans les 24 heures ouvrées. A défaut son offre sera rejetée.</w:t>
      </w:r>
    </w:p>
    <w:p>
      <w:pPr>
        <w:spacing w:after="160"/>
        <w:jc w:val="left"/>
      </w:pPr>
      <w:r>
        <w:rPr>
          <w:b w:val="on"/>
          <w:sz w:val="22"/>
        </w:rPr>
        <w:t>ARTICLE 10 : AUTRES RENSEIGNEMENTS ET INFORMATIONS COMPLEMENTAIRES</w:t>
      </w:r>
    </w:p>
    <w:p>
      <w:pPr>
        <w:spacing w:after="120"/>
        <w:jc w:val="both"/>
      </w:pPr>
      <w:r>
        <w:rPr>
          <w:b w:val="off"/>
          <w:sz w:val="22"/>
        </w:rPr>
        <w:t>Toute demande d’informations complémentaires sur des points techniques ou administratifs du dossier devra être adressée à {{B04-RC-01}} au plus tard {{B04-RC-02}} jours avant la date limite de remise des offres.</w:t>
      </w:r>
    </w:p>
    <w:p>
      <w:pPr>
        <w:spacing w:after="120"/>
        <w:jc w:val="both"/>
      </w:pPr>
      <w:r>
        <w:rPr>
          <w:b w:val="off"/>
          <w:sz w:val="22"/>
        </w:rPr>
        <w:t>Si une question est posée par un candidat, les autres candidats sont destinataires des éléments en réponse à la question posée par un candidat.</w:t>
      </w:r>
    </w:p>
    <w:p>
      <w:pPr>
        <w:spacing w:after="160"/>
        <w:jc w:val="left"/>
      </w:pPr>
      <w:r>
        <w:rPr>
          <w:b w:val="on"/>
          <w:sz w:val="22"/>
        </w:rPr>
        <w:t>ARTICLE 11 : VOIES ET DÉLAIS DE RECOURS</w:t>
      </w:r>
    </w:p>
    <w:p>
      <w:pPr>
        <w:spacing w:after="120"/>
        <w:jc w:val="both"/>
      </w:pPr>
      <w:r>
        <w:rPr>
          <w:b w:val="off"/>
          <w:sz w:val="22"/>
        </w:rPr>
        <w:t>L'instance chargée des procédures de recours est {{B06-AN-03}}</w:t>
      </w:r>
    </w:p>
    <w:p>
      <w:pPr>
        <w:spacing w:after="160"/>
        <w:jc w:val="left"/>
      </w:pPr>
      <w:r>
        <w:rPr>
          <w:b w:val="on"/>
          <w:sz w:val="22"/>
        </w:rPr>
        <w:t>ARTICLE 12 : CALENDRIER PRÉVISIONNEL</w:t>
      </w:r>
    </w:p>
    <w:p>
      <w:pPr>
        <w:spacing w:after="120"/>
        <w:jc w:val="both"/>
      </w:pPr>
      <w:r>
        <w:rPr>
          <w:b w:val="off"/>
          <w:sz w:val="22"/>
        </w:rPr>
        <w:t>Avis Spécifique d’Appel Public à Concurrence : {{B04-CP-01}}</w:t>
      </w:r>
    </w:p>
    <w:p>
      <w:pPr>
        <w:spacing w:after="120"/>
        <w:jc w:val="both"/>
      </w:pPr>
      <w:r>
        <w:rPr>
          <w:b w:val="off"/>
          <w:sz w:val="22"/>
        </w:rPr>
        <w:t>Date et heure limites de réception des offres : {{B04-CP-02}}</w:t>
      </w:r>
    </w:p>
    <w:p>
      <w:pPr>
        <w:spacing w:after="120"/>
        <w:jc w:val="both"/>
      </w:pPr>
      <w:r>
        <w:rPr>
          <w:b w:val="off"/>
          <w:sz w:val="22"/>
        </w:rPr>
        <w:t>Séance de la Commission d’Appel d’Offres : {{B04-CP-03}}</w:t>
      </w:r>
    </w:p>
    <w:p>
      <w:pPr>
        <w:spacing w:after="120"/>
        <w:jc w:val="both"/>
      </w:pPr>
      <w:r>
        <w:rPr>
          <w:b w:val="off"/>
          <w:sz w:val="22"/>
        </w:rPr>
        <w:t>Attribution du contrat-cadre : {{B04-CP-04}}</w:t>
      </w:r>
    </w:p>
    <w:p>
      <w:pPr>
        <w:spacing w:after="120"/>
        <w:jc w:val="both"/>
      </w:pPr>
      <w:r>
        <w:rPr>
          <w:b w:val="off"/>
          <w:sz w:val="22"/>
        </w:rPr>
        <w:t>Notification du contrat-cadre : {{B04-CP-05}}</w:t>
      </w:r>
    </w:p>
    <w:p>
      <w:pPr>
        <w:spacing w:after="120"/>
        <w:jc w:val="both"/>
      </w:pPr>
      <w:r>
        <w:rPr>
          <w:b w:val="off"/>
          <w:sz w:val="22"/>
        </w:rPr>
        <w:t>(1) Le terme «consultation» utilisé dans le présent document doit être compris dans le sens de «mise en concurrence» (à ne pas confondre avec la procédure de consultation restreinte d’entrepreneurs, de fournisseurs ou de prestataires de service).</w:t>
      </w:r>
    </w:p>
    <w:p>
      <w:pPr>
        <w:spacing w:after="120"/>
        <w:jc w:val="both"/>
      </w:pPr>
      <w:r>
        <w:rPr>
          <w:b w:val="off"/>
          <w:sz w:val="22"/>
        </w:rPr>
        <w:t>Ainsi, le présent document est valable aussi bien pour la procédure d’appel d’offres que pour celle de consultation restreinte.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2026-09-28T09:34:09Z</dcterms:created>
  <dc:creator>Apache POI</dc:creator>
</cp:coreProperties>
</file>