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Acheteur et objet de l’appel d’offres</w:t>
            </w:r>
          </w:p>
        </w:tc>
        <w:tc>
          <w:tcPr>
            <w:tcW w:type="pct" w:w="2500"/>
          </w:tcPr>
          <w:p>
            <w:r>
              <w:rPr>
                <w:sz w:val="20"/>
              </w:rPr>
              <w:t>Acheteur</w:t>
            </w:r>
          </w:p>
          <w:p>
            <w:r>
              <w:rPr>
                <w:sz w:val="20"/>
              </w:rPr>
              <w:t>{{B01-AC-01}}</w:t>
            </w:r>
          </w:p>
          <w:p>
            <w:r>
              <w:rPr>
                <w:sz w:val="20"/>
              </w:rPr>
              <w:t>Objet de l'appel d'offres</w:t>
            </w:r>
          </w:p>
          <w:p>
            <w:r>
              <w:rPr>
                <w:sz w:val="20"/>
              </w:rPr>
              <w:t>{{SI:PROJET}}</w:t>
            </w:r>
          </w:p>
          <w:p>
            <w:r>
              <w:rPr>
                <w:sz w:val="20"/>
              </w:rPr>
              <w:t>Le présent appel d'offres, s'inscrit dans:</w:t>
            </w:r>
          </w:p>
          <w:p>
            <w:r>
              <w:rPr>
                <w:sz w:val="20"/>
              </w:rPr>
              <w:t>{{B02-AU-01}}.</w:t>
            </w:r>
          </w:p>
          <w:p>
            <w:r>
              <w:rPr>
                <w:sz w:val="20"/>
              </w:rPr>
              <w:t>{{FINSI:PROJET}}</w:t>
            </w:r>
          </w:p>
          <w:p>
            <w:r>
              <w:rPr>
                <w:sz w:val="20"/>
              </w:rPr>
              <w:t>L’appel d’offres a pour objet :</w:t>
            </w:r>
          </w:p>
          <w:p>
            <w:r>
              <w:rPr>
                <w:sz w:val="20"/>
              </w:rPr>
              <w:t>{{B02-OB-02}}</w:t>
            </w:r>
          </w:p>
        </w:tc>
      </w:tr>
      <w:tr>
        <w:tc>
          <w:tcPr>
            <w:tcW w:type="pct" w:w="2500"/>
          </w:tcPr>
          <w:p>
            <w:r>
              <w:rPr>
                <w:sz w:val="20"/>
              </w:rPr>
              <w:t>{{SI:ALLOTI}}</w:t>
            </w:r>
          </w:p>
        </w:tc>
        <w:tc>
          <w:tcPr>
            <w:tcW w:type="pct" w:w="2500"/>
          </w:tcPr>
          <w:p>
            <w:r>
              <w:rPr>
                <w:sz w:val="20"/>
              </w:rPr>
              <w:t/>
            </w:r>
          </w:p>
        </w:tc>
      </w:tr>
      <w:tr>
        <w:tc>
          <w:tcPr>
            <w:tcW w:type="pct" w:w="2500"/>
          </w:tcPr>
          <w:p>
            <w:r>
              <w:rPr>
                <w:sz w:val="20"/>
              </w:rPr>
              <w:t>1.1 Lots et variantes</w:t>
            </w:r>
          </w:p>
        </w:tc>
        <w:tc>
          <w:tcPr>
            <w:tcW w:type="pct" w:w="2500"/>
          </w:tcPr>
          <w:p>
            <w:r>
              <w:rPr>
                <w:sz w:val="20"/>
              </w:rPr>
              <w:t>{{SI:ALLOTI}}</w:t>
            </w:r>
          </w:p>
          <w:p>
            <w:r>
              <w:rPr>
                <w:sz w:val="20"/>
              </w:rPr>
              <w:t>Lots</w:t>
            </w:r>
          </w:p>
          <w:p>
            <w:r>
              <w:rPr>
                <w:sz w:val="20"/>
              </w:rPr>
              <w:t>L’appel d’offres porte sur les lots suivants faisant partie de {{B02-OB-01}} :</w:t>
            </w:r>
          </w:p>
          <w:p>
            <w:r>
              <w:rPr>
                <w:sz w:val="20"/>
              </w:rPr>
              <w:t>{{B02-LV-02}}</w:t>
            </w:r>
          </w:p>
          <w:p>
            <w:r>
              <w:rPr>
                <w:sz w:val="20"/>
              </w:rPr>
              <w:t>{{SI:LOTS-DIVISIBLES}}</w:t>
            </w:r>
          </w:p>
          <w:p>
            <w:r>
              <w:rPr>
                <w:sz w:val="20"/>
              </w:rPr>
              <w:t>Chaque lot est indivisible. Toute offre partielle est irrecevable</w:t>
            </w:r>
          </w:p>
          <w:p>
            <w:r>
              <w:rPr>
                <w:sz w:val="20"/>
              </w:rPr>
              <w:t>Les candidats peuvent soumissionner pour un ou plusieurs lots</w:t>
            </w:r>
          </w:p>
          <w:p>
            <w:r>
              <w:rPr>
                <w:sz w:val="20"/>
              </w:rPr>
              <w:t>{{FINSI:LOTS-DIVISIBLES}}</w:t>
            </w:r>
          </w:p>
          <w:p>
            <w:r>
              <w:rPr>
                <w:sz w:val="20"/>
              </w:rPr>
              <w:t>{{SI:LOTS-TOTALITE}}</w:t>
            </w:r>
          </w:p>
          <w:p>
            <w:r>
              <w:rPr>
                <w:sz w:val="20"/>
              </w:rPr>
              <w:t>Les candidats ne peuvent soumissionner que pour la totalité des lots</w:t>
            </w:r>
          </w:p>
          <w:p>
            <w:r>
              <w:rPr>
                <w:sz w:val="20"/>
              </w:rPr>
              <w:t>{{FINSI:LOTS-TOTALITE}}</w:t>
            </w:r>
          </w:p>
          <w:p>
            <w:r>
              <w:rPr>
                <w:sz w:val="20"/>
              </w:rPr>
              <w:t>{{FINSI:ALLOTI}}</w:t>
            </w:r>
          </w:p>
        </w:tc>
      </w:tr>
      <w:tr>
        <w:tc>
          <w:tcPr>
            <w:tcW w:type="pct" w:w="2500"/>
          </w:tcPr>
          <w:p>
            <w:r>
              <w:rPr>
                <w:sz w:val="20"/>
              </w:rPr>
              <w:t>{{FINSI:ALLOTI}}</w:t>
            </w:r>
          </w:p>
        </w:tc>
        <w:tc>
          <w:tcPr>
            <w:tcW w:type="pct" w:w="2500"/>
          </w:tcPr>
          <w:p>
            <w:r>
              <w:rPr>
                <w:sz w:val="20"/>
              </w:rPr>
              <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{{SI:VARIANTES-MOINS-DISANTE}}</w:t>
            </w:r>
          </w:p>
          <w:p>
            <w:r>
              <w:rPr>
                <w:sz w:val="20"/>
              </w:rPr>
              <w:t>L’Acheteur ne considèrera que les variantes offertes par le Candidat ayant soumis l’offre de base évaluée la moins disante.</w:t>
            </w:r>
          </w:p>
          <w:p>
            <w:r>
              <w:rPr>
                <w:sz w:val="20"/>
              </w:rPr>
              <w:t>{{FINSI:VARIANTES-MOINS-DISANTE}}</w:t>
            </w:r>
          </w:p>
          <w:p>
            <w:r>
              <w:rPr>
                <w:sz w:val="20"/>
              </w:rPr>
              <w:t>{{SI:VARIANTES-TOUTES}}</w:t>
            </w:r>
          </w:p>
          <w:p>
            <w:r>
              <w:rPr>
                <w:sz w:val="20"/>
              </w:rPr>
              <w:t>L’Acheteur considérera les offres variantes satisfaisant aux Spécifications Techniques. Toutes les offres reçues pour la solution de base ou comme variantes satisfaisant aux conditions requises, seront évaluées selon leurs valeurs intrinsèques, en conformité avec les mêmes procédures, comme indiquées à la clause 9.4 des Instructions.</w:t>
            </w:r>
          </w:p>
          <w:p>
            <w:r>
              <w:rPr>
                <w:sz w:val="20"/>
              </w:rPr>
              <w:t>{{FINSI:VARIANTES-TOUTES}}</w:t>
            </w:r>
          </w:p>
        </w:tc>
      </w:tr>
      <w:tr>
        <w:tc>
          <w:tcPr>
            <w:tcW w:type="pct" w:w="2500"/>
          </w:tcPr>
          <w:p>
            <w:r>
              <w:rPr>
                <w:sz w:val="20"/>
              </w:rPr>
              <w:t>{{SI:COMMANDE}}</w:t>
            </w:r>
          </w:p>
        </w:tc>
        <w:tc>
          <w:tcPr>
            <w:tcW w:type="pct" w:w="2500"/>
          </w:tcPr>
          <w:p>
            <w:r>
              <w:rPr>
                <w:sz w:val="20"/>
              </w:rPr>
              <w:t/>
            </w:r>
          </w:p>
        </w:tc>
      </w:tr>
      <w:tr>
        <w:tc>
          <w:tcPr>
            <w:tcW w:type="pct" w:w="2500"/>
          </w:tcPr>
          <w:p>
            <w:r>
              <w:rPr>
                <w:sz w:val="20"/>
              </w:rPr>
              <w:t>1.2 Marché à commandes</w:t>
            </w:r>
          </w:p>
        </w:tc>
        <w:tc>
          <w:tcPr>
            <w:tcW w:type="pct" w:w="2500"/>
          </w:tcPr>
          <w:p>
            <w:r>
              <w:rPr>
                <w:sz w:val="20"/>
              </w:rPr>
              <w:t>L’appel d’offre porte sur un marché à commande de :</w:t>
            </w:r>
          </w:p>
          <w:p>
            <w:r>
              <w:rPr>
                <w:sz w:val="20"/>
              </w:rPr>
              <w:t>{{B02-OB-02}}</w:t>
            </w:r>
          </w:p>
          <w:p>
            <w:r>
              <w:rPr>
                <w:sz w:val="20"/>
              </w:rPr>
              <w:t>pour les quantités minimales et maximales spécifiées au Cahier des Prescriptions Spéciales, et</w:t>
            </w:r>
          </w:p>
          <w:p>
            <w:r>
              <w:rPr>
                <w:sz w:val="20"/>
              </w:rPr>
              <w:t>pour une durée de:</w:t>
            </w:r>
          </w:p>
          <w:p>
            <w:r>
              <w:rPr>
                <w:sz w:val="20"/>
              </w:rPr>
              <w:t>{{B02-AU-04}} mois.</w:t>
            </w:r>
          </w:p>
        </w:tc>
      </w:tr>
      <w:tr>
        <w:tc>
          <w:tcPr>
            <w:tcW w:type="pct" w:w="2500"/>
          </w:tcPr>
          <w:p>
            <w:r>
              <w:rPr>
                <w:sz w:val="20"/>
              </w:rPr>
              <w:t>{{FINSI:COMMANDE}}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d'éclaircissements – Modifications</w:t>
            </w:r>
          </w:p>
        </w:tc>
        <w:tc>
          <w:tcPr>
            <w:tcW w:type="pct" w:w="2500"/>
          </w:tcPr>
          <w:p>
            <w:r>
              <w:rPr>
                <w:sz w:val="20"/>
              </w:rPr>
              <w:t/>
            </w:r>
          </w:p>
        </w:tc>
      </w:tr>
      <w:tr>
        <w:tc>
          <w:tcPr>
            <w:tcW w:type="pct" w:w="2500"/>
          </w:tcPr>
          <w:p>
            <w:r>
              <w:rPr>
                <w:sz w:val="20"/>
              </w:rPr>
              <w:t>5.1Composiition du DAO</w:t>
            </w:r>
          </w:p>
        </w:tc>
        <w:tc>
          <w:tcPr>
            <w:tcW w:type="pct" w:w="2500"/>
          </w:tcPr>
          <w:p>
            <w:r>
              <w:rPr>
                <w:sz w:val="20"/>
              </w:rPr>
              <w:t>1.3 : - Modèles de fiches de renseignements</w:t>
            </w:r>
          </w:p>
          <w:p>
            <w:r>
              <w:rPr>
                <w:sz w:val="20"/>
              </w:rPr>
              <w:t>- Modèles de garantie de soumission</w:t>
            </w:r>
          </w:p>
          <w:p>
            <w:r>
              <w:rPr>
                <w:sz w:val="20"/>
              </w:rPr>
              <w:t>2.5 : - Plans, schémas, photos, échantillons …</w:t>
            </w:r>
          </w:p>
        </w:tc>
      </w:tr>
      <w:tr>
        <w:tc>
          <w:tcPr>
            <w:tcW w:type="pct" w:w="2500"/>
          </w:tcPr>
          <w:p>
            <w:r>
              <w:rPr>
                <w:sz w:val="20"/>
              </w:rPr>
              <w:t>5.2. Demandes d’éclaircissements</w:t>
            </w:r>
          </w:p>
        </w:tc>
        <w:tc>
          <w:tcPr>
            <w:tcW w:type="pct" w:w="2500"/>
          </w:tcPr>
          <w:p>
            <w:r>
              <w:rPr>
                <w:sz w:val="20"/>
              </w:rPr>
              <w:t>Adresse</w:t>
            </w:r>
          </w:p>
          <w:p>
            <w:r>
              <w:rPr>
                <w:sz w:val="20"/>
              </w:rPr>
              <w:t>Afin d’obtenir des éclaircissements, l’adresse de la Personne Responsable des Marchés Publics est la suivante :</w:t>
            </w:r>
          </w:p>
          <w:p>
            <w:r>
              <w:rPr>
                <w:sz w:val="20"/>
              </w:rPr>
              <w:t>{{B04-DE-01}}</w:t>
            </w:r>
          </w:p>
          <w:p>
            <w:r>
              <w:rPr>
                <w:sz w:val="20"/>
              </w:rPr>
              <w:t>Délai pour l'envoi des demandes par les Candidats</w:t>
            </w:r>
          </w:p>
          <w:p>
            <w:r>
              <w:rPr>
                <w:sz w:val="20"/>
              </w:rPr>
              <w:t>{{B04-DE-02}} jours avant la date limite fixée pour la remise des offres figurant à la clause 7.2 ci-dessous.</w:t>
            </w:r>
          </w:p>
          <w:p>
            <w:r>
              <w:rPr>
                <w:sz w:val="20"/>
              </w:rPr>
              <w:t>Délai pour la réponse du représentant de la PRMP</w:t>
            </w:r>
          </w:p>
          <w:p>
            <w:r>
              <w:rPr>
                <w:sz w:val="20"/>
              </w:rPr>
              <w:t>{{B04-DE-03}}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Documents ou pièces à remettre en sus de ceux mentionnés à la clause 6.2. des IC :</w:t>
            </w:r>
          </w:p>
          <w:p>
            <w:r>
              <w:rPr>
                <w:sz w:val="20"/>
              </w:rPr>
              <w:t>{{B04-CO-01}}</w:t>
            </w:r>
          </w:p>
        </w:tc>
      </w:tr>
      <w:tr>
        <w:tc>
          <w:tcPr>
            <w:tcW w:type="pct" w:w="2500"/>
          </w:tcPr>
          <w:p>
            <w:r>
              <w:rPr>
                <w:sz w:val="20"/>
              </w:rPr>
              <w:t>6.3. Capacités et qualifications des candidats</w:t>
            </w:r>
          </w:p>
        </w:tc>
        <w:tc>
          <w:tcPr>
            <w:tcW w:type="pct" w:w="2500"/>
          </w:tcPr>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 Une fiche de renseignements relative à sa capacité financière;</w:t>
            </w:r>
          </w:p>
          <w:p>
            <w:r>
              <w:rPr>
                <w:sz w:val="20"/>
              </w:rPr>
              <w:t>4° la liste des principaux marchés portant sur des fournitures de même type ou d'un type similaire réalisés au cours des trois dernières années, appuyée des certificats de bonne fin ou PV de réception</w:t>
            </w:r>
          </w:p>
          <w:p>
            <w:r>
              <w:rPr>
                <w:sz w:val="20"/>
              </w:rPr>
              <w:t>{{SI:FABRICANT}}</w:t>
            </w:r>
          </w:p>
          <w:p>
            <w:r>
              <w:rPr>
                <w:sz w:val="20"/>
              </w:rPr>
              <w:t>5° Le Candidat qui ne fabrique ou ne produit pas les fournitures qu’il offre, soumettra une Autorisation du Fabriquant</w:t>
            </w:r>
          </w:p>
          <w:p>
            <w:r>
              <w:rPr>
                <w:sz w:val="20"/>
              </w:rPr>
              <w:t>{{FINSI:FABRICANT}}</w:t>
            </w:r>
          </w:p>
          <w:p>
            <w:r>
              <w:rPr>
                <w:sz w:val="20"/>
              </w:rPr>
              <w:t>{{SI:QUALIFICATIONS}}</w:t>
            </w:r>
          </w:p>
          <w:p>
            <w:r>
              <w:rPr>
                <w:sz w:val="20"/>
              </w:rPr>
              <w:t>Les qualifications particulières suivantes sont requises des Candidats : {{B03-CQ-06}}</w:t>
            </w:r>
          </w:p>
          <w:p>
            <w:r>
              <w:rPr>
                <w:sz w:val="20"/>
              </w:rPr>
              <w:t>{{FINSI:QUALIFICATIONS}}</w:t>
            </w:r>
          </w:p>
        </w:tc>
      </w:tr>
      <w:tr>
        <w:tc>
          <w:tcPr>
            <w:tcW w:type="pct" w:w="2500"/>
          </w:tcPr>
          <w:p>
            <w:r>
              <w:rPr>
                <w:sz w:val="20"/>
              </w:rPr>
              <w:t/>
            </w:r>
          </w:p>
        </w:tc>
        <w:tc>
          <w:tcPr>
            <w:tcW w:type="pct" w:w="2500"/>
          </w:tcPr>
          <w:p>
            <w:r>
              <w:rPr>
                <w:sz w:val="20"/>
              </w:rPr>
              <w:t>{{SI:ONG}}</w:t>
            </w:r>
          </w:p>
          <w:p>
            <w:r>
              <w:rPr>
                <w:sz w:val="20"/>
              </w:rPr>
              <w:t>Les communautés locales et/ou les ONG sont admises à participer à l'appel d'offres. Par dérogation aux obligations de fournir les renseignements sus -mentionnés ces communautés n'ont pas à produire:</w:t>
            </w:r>
          </w:p>
          <w:p>
            <w:r>
              <w:rPr>
                <w:sz w:val="20"/>
              </w:rPr>
              <w:t>{{B03-CQ-07}}</w:t>
            </w:r>
          </w:p>
          <w:p>
            <w:r>
              <w:rPr>
                <w:sz w:val="20"/>
              </w:rPr>
              <w:t>{{FINSI:ONG}}</w:t>
            </w:r>
          </w:p>
          <w:p>
            <w:r>
              <w:rPr>
                <w:sz w:val="20"/>
              </w:rPr>
              <w:t>{{SI:PREFERENCE}}</w:t>
            </w:r>
          </w:p>
          <w:p>
            <w:r>
              <w:rPr>
                <w:sz w:val="20"/>
              </w:rPr>
              <w:t>Les Candidats susceptibles de bénéficier de la préférence nationale prévue à l'article 9.5 des IC et des Présentes DPAO doivent produire les pièces justifiant leur éligibilité à cette préférence, prévues à l'article précité.</w:t>
            </w:r>
          </w:p>
          <w:p>
            <w:r>
              <w:rPr>
                <w:sz w:val="20"/>
              </w:rPr>
              <w:t>{{FINSI:PREFERENCE}}</w:t>
            </w:r>
          </w:p>
        </w:tc>
      </w:tr>
      <w:tr>
        <w:tc>
          <w:tcPr>
            <w:tcW w:type="pct" w:w="2500"/>
          </w:tcPr>
          <w:p>
            <w:r>
              <w:rPr>
                <w:sz w:val="20"/>
              </w:rPr>
              <w:t>6.5. Délai de validité des offres</w:t>
            </w:r>
          </w:p>
        </w:tc>
        <w:tc>
          <w:tcPr>
            <w:tcW w:type="pct" w:w="2500"/>
          </w:tcPr>
          <w:p>
            <w:r>
              <w:rPr>
                <w:sz w:val="20"/>
              </w:rPr>
              <w:t>Le délai de validité de l’offre sera de {{B04-VO-01}} jours.</w:t>
            </w:r>
          </w:p>
        </w:tc>
      </w:tr>
      <w:tr>
        <w:tc>
          <w:tcPr>
            <w:tcW w:type="pct" w:w="2500"/>
          </w:tcPr>
          <w:p>
            <w:r>
              <w:rPr>
                <w:sz w:val="20"/>
              </w:rPr>
              <w:t>6.6. Contenu et décomposition des prix</w:t>
            </w:r>
          </w:p>
        </w:tc>
        <w:tc>
          <w:tcPr>
            <w:tcW w:type="pct" w:w="2500"/>
          </w:tcPr>
          <w:p>
            <w:r>
              <w:rPr>
                <w:sz w:val="20"/>
              </w:rPr>
              <w:t>La destination finale des Fournitures est :</w:t>
            </w:r>
          </w:p>
          <w:p>
            <w:r>
              <w:rPr>
                <w:sz w:val="20"/>
              </w:rPr>
              <w:t>{{B09-LL-01.parLot}}.</w:t>
            </w:r>
          </w:p>
          <w:p>
            <w:r>
              <w:rPr>
                <w:sz w:val="20"/>
              </w:rPr>
              <w:t>Terme commercial de livraison (selon les Incoterms 2000)</w:t>
            </w:r>
          </w:p>
          <w:p>
            <w:r>
              <w:rPr>
                <w:sz w:val="20"/>
              </w:rPr>
              <w:t>{{SI:NATIONAL}}</w:t>
            </w:r>
          </w:p>
          <w:p>
            <w:r>
              <w:rPr>
                <w:sz w:val="20"/>
              </w:rPr>
              <w:t>a) Pour les Fournitures acquises sur le territoire nationale, le prix comprend:</w:t>
            </w:r>
          </w:p>
          <w:p>
            <w:r>
              <w:rPr>
                <w:sz w:val="20"/>
              </w:rPr>
              <w:t>{{FINSI:NATIONAL}}</w:t>
            </w:r>
          </w:p>
          <w:p>
            <w:r>
              <w:rPr>
                <w:sz w:val="20"/>
              </w:rPr>
              <w:t>{{SI:NATIONAL-TYPE}}</w:t>
            </w:r>
          </w:p>
          <w:p>
            <w:r>
              <w:rPr>
                <w:sz w:val="20"/>
              </w:rPr>
              <w:t>i) le prix des fournitures EXW, hors TVA, (sortie usine, fabrique, magasin d’exposition, entrepôt ou magasin de ventes, suivant le cas);</w:t>
            </w:r>
          </w:p>
          <w:p>
            <w:r>
              <w:rPr>
                <w:sz w:val="20"/>
              </w:rPr>
              <w:t>ii) le prix des transports intérieurs, assurance et autres services locaux afférents à la livraison des fournitures jusqu’à leur destination finale.</w:t>
            </w:r>
          </w:p>
          <w:p>
            <w:r>
              <w:rPr>
                <w:sz w:val="20"/>
              </w:rPr>
              <w:t>{{FINSI:NATIONAL-TYPE}}</w:t>
            </w:r>
          </w:p>
          <w:p>
            <w:r>
              <w:rPr>
                <w:sz w:val="20"/>
              </w:rPr>
              <w:t>{{SI:NATIONAL-SAISI}}</w:t>
            </w:r>
          </w:p>
          <w:p>
            <w:r>
              <w:rPr>
                <w:sz w:val="20"/>
              </w:rPr>
              <w:t>{{B05-CP-02}}</w:t>
            </w:r>
          </w:p>
          <w:p>
            <w:r>
              <w:rPr>
                <w:sz w:val="20"/>
              </w:rPr>
              <w:t>{{FINSI:NATIONAL-SAISI}}</w:t>
            </w:r>
          </w:p>
          <w:p>
            <w:r>
              <w:rPr>
                <w:sz w:val="20"/>
              </w:rPr>
              <w:t>{{SI:IMPORTEES}}</w:t>
            </w:r>
          </w:p>
          <w:p>
            <w:r>
              <w:rPr>
                <w:sz w:val="20"/>
              </w:rPr>
              <w:t>b) Pour les Fournitures à importer, le prix comprend :</w:t>
            </w:r>
          </w:p>
          <w:p>
            <w:r>
              <w:rPr>
                <w:sz w:val="20"/>
              </w:rPr>
              <w:t>le prix des fournitures correspond à une livraison</w:t>
            </w:r>
          </w:p>
          <w:p>
            <w:r>
              <w:rPr>
                <w:sz w:val="20"/>
              </w:rPr>
              <w:t>{{FINSI:IMPORTEES}}</w:t>
            </w:r>
          </w:p>
          <w:p>
            <w:r>
              <w:rPr>
                <w:sz w:val="20"/>
              </w:rPr>
              <w:t>{{SI:CIP}}</w:t>
            </w:r>
          </w:p>
          <w:p>
            <w:r>
              <w:rPr>
                <w:sz w:val="20"/>
              </w:rPr>
              <w:t>CIP {{B05-CP-05}},</w:t>
            </w:r>
          </w:p>
          <w:p>
            <w:r>
              <w:rPr>
                <w:sz w:val="20"/>
              </w:rPr>
              <w:t>{{FINSI:CIP}}</w:t>
            </w:r>
          </w:p>
          <w:p>
            <w:r>
              <w:rPr>
                <w:sz w:val="20"/>
              </w:rPr>
              <w:t>{{SI:CIF}}</w:t>
            </w:r>
          </w:p>
          <w:p>
            <w:r>
              <w:rPr>
                <w:sz w:val="20"/>
              </w:rPr>
              <w:t>CIF {{B05-CP-05}}</w:t>
            </w:r>
          </w:p>
          <w:p>
            <w:r>
              <w:rPr>
                <w:sz w:val="20"/>
              </w:rPr>
              <w:t>{{FINSI:CIF}}</w:t>
            </w:r>
          </w:p>
          <w:p>
            <w:r>
              <w:rPr>
                <w:sz w:val="20"/>
              </w:rPr>
              <w:t>{{SI:TRANSPORT-INTERIEUR}}</w:t>
            </w:r>
          </w:p>
          <w:p>
            <w:r>
              <w:rPr>
                <w:sz w:val="20"/>
              </w:rPr>
              <w:t>le prix des transports intérieurs, assurance et autres services locaux afférents à la livraison des fournitures du lieu de destination indiqué (CIP) à leur destination finale.</w:t>
            </w:r>
          </w:p>
          <w:p>
            <w:r>
              <w:rPr>
                <w:sz w:val="20"/>
              </w:rPr>
              <w:t>{{FINSI:TRANSPORT-INTERIEUR}}</w:t>
            </w:r>
          </w:p>
        </w:tc>
      </w:tr>
      <w:tr>
        <w:tc>
          <w:tcPr>
            <w:tcW w:type="pct" w:w="2500"/>
          </w:tcPr>
          <w:p>
            <w:r>
              <w:rPr>
                <w:sz w:val="20"/>
              </w:rPr>
              <w:t>6.6.3.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6.7. Monnaie</w:t>
            </w:r>
          </w:p>
        </w:tc>
        <w:tc>
          <w:tcPr>
            <w:tcW w:type="pct" w:w="2500"/>
          </w:tcPr>
          <w:p>
            <w:r>
              <w:rPr>
                <w:sz w:val="20"/>
              </w:rPr>
              <w:t>{{SI:ARIARY}}</w:t>
            </w:r>
          </w:p>
          <w:p>
            <w:r>
              <w:rPr>
                <w:sz w:val="20"/>
              </w:rPr>
              <w:t>tous les prix sont exprimés en Ariary</w:t>
            </w:r>
          </w:p>
          <w:p>
            <w:r>
              <w:rPr>
                <w:sz w:val="20"/>
              </w:rPr>
              <w:t>{{FINSI:ARIARY}}</w:t>
            </w:r>
          </w:p>
          <w:p>
            <w:r>
              <w:rPr>
                <w:sz w:val="20"/>
              </w:rPr>
              <w:t>{{SI:DEVISE}}</w:t>
            </w:r>
          </w:p>
          <w:p>
            <w:r>
              <w:rPr>
                <w:sz w:val="20"/>
              </w:rPr>
              <w:t>Les prix des fournitures importées et dépenses encourues hors de la République de Madagascar sont exprimés en:</w:t>
            </w:r>
          </w:p>
          <w:p>
            <w:r>
              <w:rPr>
                <w:sz w:val="20"/>
              </w:rPr>
              <w:t>{{B05-MO-02}}.</w:t>
            </w:r>
          </w:p>
          <w:p>
            <w:r>
              <w:rPr>
                <w:sz w:val="20"/>
              </w:rPr>
              <w:t>{{FINSI:DEVISE}}</w:t>
            </w:r>
          </w:p>
        </w:tc>
      </w:tr>
      <w:tr>
        <w:tc>
          <w:tcPr>
            <w:tcW w:type="pct" w:w="2500"/>
          </w:tcPr>
          <w:p>
            <w:r>
              <w:rPr>
                <w:sz w:val="20"/>
              </w:rPr>
              <w:t>6.8.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prévues à la clause 6.8. des IC et conformément aux modèles figurant dans les Formulaires de soumission</w:t>
            </w:r>
          </w:p>
          <w:p>
            <w:r>
              <w:rPr>
                <w:sz w:val="20"/>
              </w:rPr>
              <w:t>{{FINSI:GARANTIE}}</w:t>
            </w:r>
          </w:p>
          <w:p>
            <w:r>
              <w:rPr>
                <w:sz w:val="20"/>
              </w:rPr>
              <w:t>{{SI:CHEQUE}}</w:t>
            </w:r>
          </w:p>
          <w:p>
            <w:r>
              <w:rPr>
                <w:sz w:val="20"/>
              </w:rPr>
              <w:t>Un chèque de banque libellé au nom de …</w:t>
            </w:r>
          </w:p>
          <w:p>
            <w:r>
              <w:rPr>
                <w:sz w:val="20"/>
              </w:rPr>
              <w:t>{{FINSI:CHEQUE}}</w:t>
            </w:r>
          </w:p>
          <w:p>
            <w:r>
              <w:rPr>
                <w:sz w:val="20"/>
              </w:rPr>
              <w:t>{{SI:GARANTIE}}</w:t>
            </w:r>
          </w:p>
          <w:p>
            <w:r>
              <w:rPr>
                <w:sz w:val="20"/>
              </w:rPr>
              <w:t>Le montant de la garantie de soumission est de:</w:t>
            </w:r>
          </w:p>
          <w:p>
            <w:r>
              <w:rPr>
                <w:sz w:val="20"/>
              </w:rPr>
              <w:t>{{FINSI:GARANTIE}}</w:t>
            </w:r>
          </w:p>
          <w:p>
            <w:r>
              <w:rPr>
                <w:sz w:val="20"/>
              </w:rPr>
              <w:t>{{SI:GARANTIE-LOTS}}</w:t>
            </w:r>
          </w:p>
          <w:p>
            <w:r>
              <w:rPr>
                <w:sz w:val="20"/>
              </w:rPr>
              <w:t>{{B05-GS-03.parLot}}.</w:t>
            </w:r>
          </w:p>
          <w:p>
            <w:r>
              <w:rPr>
                <w:sz w:val="20"/>
              </w:rPr>
              <w:t>{{FINSI:GARANTIE-LOTS}}</w:t>
            </w:r>
          </w:p>
          <w:p>
            <w:r>
              <w:rPr>
                <w:sz w:val="20"/>
              </w:rPr>
              <w:t>{{SI:GARANTIE-UNIQUE}}</w:t>
            </w:r>
          </w:p>
          <w:p>
            <w:r>
              <w:rPr>
                <w:sz w:val="20"/>
              </w:rPr>
              <w:t>{{B05-GS-03.lettres}} ({{B05-GS-03}}).</w:t>
            </w:r>
          </w:p>
          <w:p>
            <w:r>
              <w:rPr>
                <w:sz w:val="20"/>
              </w:rPr>
              <w:t>{{FINSI:GARANTIE-UNIQUE}}</w:t>
            </w:r>
          </w:p>
        </w:tc>
      </w:tr>
      <w:tr>
        <w:tc>
          <w:tcPr>
            <w:tcW w:type="pct" w:w="2500"/>
          </w:tcPr>
          <w:p>
            <w:r>
              <w:rPr>
                <w:sz w:val="20"/>
              </w:rPr>
              <w:t>{{SI:LANGUE}}</w:t>
            </w:r>
          </w:p>
        </w:tc>
        <w:tc>
          <w:tcPr>
            <w:tcW w:type="pct" w:w="2500"/>
          </w:tcPr>
          <w:p>
            <w:r>
              <w:rPr>
                <w:sz w:val="20"/>
              </w:rPr>
              <w:t/>
            </w:r>
          </w:p>
        </w:tc>
      </w:tr>
      <w:tr>
        <w:tc>
          <w:tcPr>
            <w:tcW w:type="pct" w:w="2500"/>
          </w:tcPr>
          <w:p>
            <w:r>
              <w:rPr>
                <w:sz w:val="20"/>
              </w:rPr>
              <w:t>6.9. Langue</w:t>
            </w:r>
          </w:p>
        </w:tc>
        <w:tc>
          <w:tcPr>
            <w:tcW w:type="pct" w:w="2500"/>
          </w:tcPr>
          <w:p>
            <w:r>
              <w:rPr>
                <w:sz w:val="20"/>
              </w:rPr>
              <w:t>La langue de l'offre est le français ou {{B04-LA-02}}</w:t>
            </w:r>
          </w:p>
        </w:tc>
      </w:tr>
      <w:tr>
        <w:tc>
          <w:tcPr>
            <w:tcW w:type="pct" w:w="2500"/>
          </w:tcPr>
          <w:p>
            <w:r>
              <w:rPr>
                <w:sz w:val="20"/>
              </w:rPr>
              <w:t>{{FINSI:LANGUE}}</w:t>
            </w:r>
          </w:p>
        </w:tc>
        <w:tc>
          <w:tcPr>
            <w:tcW w:type="pct" w:w="2500"/>
          </w:tcPr>
          <w:p>
            <w:r>
              <w:rPr>
                <w:sz w:val="20"/>
              </w:rPr>
              <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{{B04-RO-01}} copies</w:t>
            </w:r>
          </w:p>
          <w:p>
            <w:r>
              <w:rPr>
                <w:sz w:val="20"/>
              </w:rPr>
              <w:t>Les enveloppes devront comporter les autres identifications suivantes :</w:t>
            </w:r>
          </w:p>
          <w:p>
            <w:r>
              <w:rPr>
                <w:sz w:val="20"/>
              </w:rPr>
              <w:t>{{B04-RO-02}}</w:t>
            </w:r>
          </w:p>
          <w:p>
            <w:r>
              <w:rPr>
                <w:sz w:val="20"/>
              </w:rPr>
              <w:t>{{SI:ALLOTI}}</w:t>
            </w:r>
          </w:p>
          <w:p>
            <w:r>
              <w:rPr>
                <w:sz w:val="20"/>
              </w:rPr>
              <w:t>numéro du lot auquel se rapporte l'offre</w:t>
            </w:r>
          </w:p>
          <w:p>
            <w:r>
              <w:rPr>
                <w:sz w:val="20"/>
              </w:rPr>
              <w:t>{{FINSI:ALLOTI}}</w:t>
            </w:r>
          </w:p>
        </w:tc>
      </w:tr>
      <w:tr>
        <w:tc>
          <w:tcPr>
            <w:tcW w:type="pct" w:w="2500"/>
          </w:tcPr>
          <w:p>
            <w:r>
              <w:rPr>
                <w:sz w:val="20"/>
              </w:rPr>
              <w:t>7.2. Lieu, date et heure de la remise des offres</w:t>
            </w:r>
          </w:p>
        </w:tc>
        <w:tc>
          <w:tcPr>
            <w:tcW w:type="pct" w:w="2500"/>
          </w:tcPr>
          <w:p>
            <w:r>
              <w:rPr>
                <w:sz w:val="20"/>
              </w:rPr>
              <w:t>Aux fins de remise des offres l’adresse de l’Autorité Contractante est la suivante :</w:t>
            </w:r>
          </w:p>
          <w:p>
            <w:r>
              <w:rPr>
                <w:sz w:val="20"/>
              </w:rPr>
              <w:t>Attention : {{B04-LR-01}}</w:t>
            </w:r>
          </w:p>
          <w:p>
            <w:r>
              <w:rPr>
                <w:sz w:val="20"/>
              </w:rPr>
              <w:t>Adresse: {{B04-LR-02}}</w:t>
            </w:r>
          </w:p>
          <w:p>
            <w:r>
              <w:rPr>
                <w:sz w:val="20"/>
              </w:rPr>
              <w:t>Les date et heure limites fixées pour la remise des offres sont les suivantes :</w:t>
            </w:r>
          </w:p>
          <w:p>
            <w:r>
              <w:rPr>
                <w:sz w:val="20"/>
              </w:rPr>
              <w:t>Date : {{B04-LR-03}}</w:t>
            </w:r>
          </w:p>
          <w:p>
            <w:r>
              <w:rPr>
                <w:sz w:val="20"/>
              </w:rPr>
              <w:t>Heure : {{B04-LR-04}}</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{{B04-OP-01}}</w:t>
            </w:r>
          </w:p>
          <w:p>
            <w:r>
              <w:rPr>
                <w:sz w:val="20"/>
              </w:rPr>
              <w:t>Date et heure : les mêmes que la date et l’heure limites fixées pour la remise des offres</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l'Acheteur ou la PRMP</w:t>
            </w:r>
          </w:p>
        </w:tc>
        <w:tc>
          <w:tcPr>
            <w:tcW w:type="pct" w:w="2500"/>
          </w:tcPr>
          <w:p>
            <w:r>
              <w:rPr>
                <w:sz w:val="20"/>
              </w:rPr>
              <w:t>Les Candidats devront répondre aux demandes d'éclaircissements de la PRMP dans un délai de:</w:t>
            </w:r>
          </w:p>
          <w:p>
            <w:r>
              <w:rPr>
                <w:sz w:val="20"/>
              </w:rPr>
              <w:t>{{B06-EP-01}}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{{SI:CRITERES}}</w:t>
            </w:r>
          </w:p>
        </w:tc>
        <w:tc>
          <w:tcPr>
            <w:tcW w:type="pct" w:w="2500"/>
          </w:tcPr>
          <w:p>
            <w:r>
              <w:rPr>
                <w:sz w:val="20"/>
              </w:rPr>
              <w:t/>
            </w:r>
          </w:p>
        </w:tc>
      </w:tr>
      <w:tr>
        <w:tc>
          <w:tcPr>
            <w:tcW w:type="pct" w:w="2500"/>
          </w:tcPr>
          <w:p>
            <w:r>
              <w:rPr>
                <w:sz w:val="20"/>
              </w:rPr>
              <w:t/>
            </w:r>
          </w:p>
        </w:tc>
        <w:tc>
          <w:tcPr>
            <w:tcW w:type="pct" w:w="2500"/>
          </w:tcPr>
          <w:p>
            <w:r>
              <w:rPr>
                <w:sz w:val="20"/>
              </w:rPr>
              <w:t>Critères additionnels d’évaluation :</w:t>
            </w:r>
          </w:p>
          <w:p>
            <w:r>
              <w:rPr>
                <w:sz w:val="20"/>
              </w:rPr>
              <w:t>L’évaluation d’une offre par l’Acheteur pourra prendre en compte, en plus du prix de l’offre remise, les facteurs décrits ci-après en application des dispositions de l'Article 9.4 des IC,:</w:t>
            </w:r>
          </w:p>
          <w:p>
            <w:r>
              <w:rPr>
                <w:sz w:val="20"/>
              </w:rPr>
              <w:t>{{B06-EO-02}}</w:t>
            </w:r>
          </w:p>
        </w:tc>
      </w:tr>
      <w:tr>
        <w:tc>
          <w:tcPr>
            <w:tcW w:type="pct" w:w="2500"/>
          </w:tcPr>
          <w:p>
            <w:r>
              <w:rPr>
                <w:sz w:val="20"/>
              </w:rPr>
              <w:t>{{FINSI:CRITERES}}</w:t>
            </w:r>
          </w:p>
        </w:tc>
        <w:tc>
          <w:tcPr>
            <w:tcW w:type="pct" w:w="2500"/>
          </w:tcPr>
          <w:p>
            <w:r>
              <w:rPr>
                <w:sz w:val="20"/>
              </w:rPr>
              <w:t/>
            </w:r>
          </w:p>
        </w:tc>
      </w:tr>
      <w:tr>
        <w:tc>
          <w:tcPr>
            <w:tcW w:type="pct" w:w="2500"/>
          </w:tcPr>
          <w:p>
            <w:r>
              <w:rPr>
                <w:sz w:val="20"/>
              </w:rPr>
              <w:t>9.5.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une préférence aux candidats nationaux conformément à la clause 9.5. des IC dans les conditions suivantes.</w:t>
            </w:r>
          </w:p>
          <w:p>
            <w:r>
              <w:rPr>
                <w:sz w:val="20"/>
              </w:rPr>
              <w:t>{{B06-EO-09.chiffres}} %</w:t>
            </w:r>
          </w:p>
          <w:p>
            <w:r>
              <w:rPr>
                <w:sz w:val="20"/>
              </w:rPr>
              <w:t>{{FINSI:PREFERENCE}}</w:t>
            </w:r>
          </w:p>
        </w:tc>
      </w:tr>
      <w:tr>
        <w:tc>
          <w:tcPr>
            <w:tcW w:type="pct" w:w="2500"/>
          </w:tcPr>
          <w:p>
            <w:r>
              <w:rPr>
                <w:sz w:val="20"/>
              </w:rPr>
              <w:t>{{SI:QUANTITES}}</w:t>
            </w:r>
          </w:p>
        </w:tc>
        <w:tc>
          <w:tcPr>
            <w:tcW w:type="pct" w:w="2500"/>
          </w:tcPr>
          <w:p>
            <w:r>
              <w:rPr>
                <w:sz w:val="20"/>
              </w:rPr>
              <w:t/>
            </w:r>
          </w:p>
        </w:tc>
      </w:tr>
      <w:tr>
        <w:tc>
          <w:tcPr>
            <w:tcW w:type="pct" w:w="2500"/>
          </w:tcPr>
          <w:p>
            <w:r>
              <w:rPr>
                <w:sz w:val="20"/>
              </w:rPr>
              <w:t>11. Modification des quantités</w:t>
            </w:r>
          </w:p>
        </w:tc>
        <w:tc>
          <w:tcPr>
            <w:tcW w:type="pct" w:w="2500"/>
          </w:tcPr>
          <w:p>
            <w:r>
              <w:rPr>
                <w:sz w:val="20"/>
              </w:rPr>
              <w:t>L’autorité contractante, au moment de l’attribution du marché, se réserve le droit de modifier les quantités prévues au bordereau des prix, sans modification du prix unitaire, de plus ou moins de {{B06-EO-10.chiffres}}% en fonction des crédits disponibles</w:t>
            </w:r>
          </w:p>
        </w:tc>
      </w:tr>
      <w:tr>
        <w:tc>
          <w:tcPr>
            <w:tcW w:type="pct" w:w="2500"/>
          </w:tcPr>
          <w:p>
            <w:r>
              <w:rPr>
                <w:sz w:val="20"/>
              </w:rPr>
              <w:t>{{FINSI:QUANTITES}}</w:t>
            </w:r>
          </w:p>
        </w:tc>
        <w:tc>
          <w:tcPr>
            <w:tcW w:type="pct" w:w="2500"/>
          </w:tcPr>
          <w:p>
            <w:r>
              <w:rPr>
                <w:sz w:val="20"/>
              </w:rPr>
              <w:t/>
            </w:r>
          </w:p>
        </w:tc>
      </w:tr>
      <w:tr>
        <w:tc>
          <w:tcPr>
            <w:tcW w:type="pct" w:w="2500"/>
          </w:tcPr>
          <w:p>
            <w:r>
              <w:rPr>
                <w:sz w:val="20"/>
              </w:rPr>
              <w:t>12. Délai de livraison</w:t>
            </w:r>
          </w:p>
        </w:tc>
        <w:tc>
          <w:tcPr>
            <w:tcW w:type="pct" w:w="2500"/>
          </w:tcPr>
          <w:p>
            <w:r>
              <w:rPr>
                <w:sz w:val="20"/>
              </w:rPr>
              <w:t>{{SI:QUANTITE-FIXE}}</w:t>
            </w:r>
          </w:p>
          <w:p>
            <w:r>
              <w:rPr>
                <w:sz w:val="20"/>
              </w:rPr>
              <w:t>Le délai de livraison est fixé à {{B06-EO-11}} jours, à compter du lendemain de la date de notification de l’Ordre de Service de commencer les prestations</w:t>
            </w:r>
          </w:p>
          <w:p>
            <w:r>
              <w:rPr>
                <w:sz w:val="20"/>
              </w:rPr>
              <w:t>{{FINSI:QUANTITE-FIXE}}</w:t>
            </w:r>
          </w:p>
          <w:p>
            <w:r>
              <w:rPr>
                <w:sz w:val="20"/>
              </w:rPr>
              <w:t>{{SI:QUANTITE-FIXE-ALLOTI}}</w:t>
            </w:r>
          </w:p>
          <w:p>
            <w:r>
              <w:rPr>
                <w:sz w:val="20"/>
              </w:rPr>
              <w:t>En cas d’attribution de deux ou plusieurs lots à un candidat, les délais ne sont pas cumulables</w:t>
            </w:r>
          </w:p>
          <w:p>
            <w:r>
              <w:rPr>
                <w:sz w:val="20"/>
              </w:rPr>
              <w:t>{{FINSI:QUANTITE-FIXE-ALLOTI}}</w:t>
            </w:r>
          </w:p>
          <w:p>
            <w:r>
              <w:rPr>
                <w:sz w:val="20"/>
              </w:rPr>
              <w:t>{{SI:COMMANDE}}</w:t>
            </w:r>
          </w:p>
          <w:p>
            <w:r>
              <w:rPr>
                <w:sz w:val="20"/>
              </w:rPr>
              <w:t>Le délai de livraison est fixé dans le bon de commande sans toutefois dépasser {{B06-EO-12.parLot}} jours à compter du lendemain de la notification dudit bon de commande</w:t>
            </w:r>
          </w:p>
          <w:p>
            <w:r>
              <w:rPr>
                <w:sz w:val="20"/>
              </w:rPr>
              <w:t>{{FINSI:COMMANDE}}</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2026-09-28T22:48:40Z</dcterms:created>
  <dc:creator>Apache POI</dc:creator>
</cp:coreProperties>
</file>