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MARCHÉ PUBLIC DE TRAVAUX</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{{B01-AC-01}} — {{B01-AC-02}}</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MAITRE D'OUVRAGE DELEGUE :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MAITRE D'ŒUVRE : {{B02-MW-01}}</w:t>
      </w:r>
    </w:p>
    <w:p>
      <w:pPr>
        <w:spacing w:after="120"/>
        <w:jc w:val="both"/>
      </w:pPr>
      <w:r>
        <w:rPr>
          <w:b w:val="off"/>
          <w:sz w:val="22"/>
        </w:rPr>
        <w:t>{{FINSI:MOE}}</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personnelle et solidaire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personnelle et solidaire de restitution d'avance</w:t>
      </w:r>
    </w:p>
    <w:p>
      <w:pPr>
        <w:spacing w:after="120"/>
        <w:jc w:val="both"/>
      </w:pPr>
      <w:r>
        <w:rPr>
          <w:b w:val="off"/>
          <w:sz w:val="22"/>
        </w:rPr>
        <w:t>Annexe: Cadre de Bordereau de prix et de Détail quantitatif</w:t>
      </w:r>
    </w:p>
    <w:p>
      <w:pPr>
        <w:spacing w:after="120"/>
        <w:jc w:val="both"/>
      </w:pPr>
      <w:r>
        <w:rPr>
          <w:b w:val="off"/>
          <w:sz w:val="22"/>
        </w:rPr>
        <w:t>et estimatif</w:t>
      </w:r>
    </w:p>
    <w:p>
      <w:pPr>
        <w:spacing w:after="120"/>
        <w:jc w:val="both"/>
      </w:pPr>
      <w:r>
        <w:rPr>
          <w:b w:val="off"/>
          <w:sz w:val="22"/>
        </w:rPr>
        <w:t>Les Spécifications Techniques qui fixent les caractéristiques techniques de l'ouvrage objet du Marché.</w:t>
      </w:r>
    </w:p>
    <w:p>
      <w:pPr>
        <w:spacing w:after="120"/>
        <w:jc w:val="both"/>
      </w:pPr>
      <w:r>
        <w:rPr>
          <w:b w:val="off"/>
          <w:sz w:val="22"/>
        </w:rPr>
        <w:t>Annexe (à numéroter) :</w:t>
      </w:r>
    </w:p>
    <w:p>
      <w:pPr>
        <w:spacing w:after="120"/>
        <w:jc w:val="both"/>
      </w:pPr>
      <w:r>
        <w:rPr>
          <w:b w:val="off"/>
          <w:sz w:val="22"/>
        </w:rPr>
        <w:t>Liste de plans</w:t>
      </w:r>
    </w:p>
    <w:p>
      <w:pPr>
        <w:spacing w:after="120"/>
        <w:jc w:val="both"/>
      </w:pPr>
      <w:r>
        <w:rPr>
          <w:b w:val="off"/>
          <w:sz w:val="22"/>
        </w:rPr>
        <w:t>Planning d’exécution des travaux</w:t>
      </w:r>
    </w:p>
    <w:p>
      <w:pPr>
        <w:spacing w:after="120"/>
        <w:jc w:val="both"/>
      </w:pPr>
      <w:r>
        <w:rPr>
          <w:b w:val="off"/>
          <w:sz w:val="22"/>
        </w:rPr>
        <w:t>Liste du personnel cadre à affecter au chantier</w:t>
      </w:r>
    </w:p>
    <w:p>
      <w:pPr>
        <w:spacing w:after="120"/>
        <w:jc w:val="both"/>
      </w:pPr>
      <w:r>
        <w:rPr>
          <w:b w:val="off"/>
          <w:sz w:val="22"/>
        </w:rPr>
        <w:t>Liste des matériels à affecter au chantier</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Maître de l'Ouvrage et les travaux concernés. Les candidats au marché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w:t>
      </w:r>
    </w:p>
    <w:p>
      <w:pPr>
        <w:spacing w:after="160"/>
        <w:jc w:val="left"/>
      </w:pPr>
      <w:r>
        <w:rPr>
          <w:b w:val="on"/>
          <w:sz w:val="22"/>
        </w:rPr>
        <w:t>1.1 Objet du marché</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travaux à effectuer dans le cadre de {{B02-OT-01}}.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travaux à effectuer.</w:t>
      </w:r>
    </w:p>
    <w:p>
      <w:pPr>
        <w:spacing w:after="120"/>
        <w:jc w:val="both"/>
      </w:pPr>
      <w:r>
        <w:rPr>
          <w:b w:val="off"/>
          <w:sz w:val="22"/>
        </w:rPr>
        <w:t>{{FINSI:SANS-PROJET}}</w:t>
      </w:r>
    </w:p>
    <w:p>
      <w:pPr>
        <w:spacing w:after="120"/>
        <w:jc w:val="both"/>
      </w:pPr>
      <w:r>
        <w:rPr>
          <w:b w:val="off"/>
          <w:sz w:val="22"/>
        </w:rPr>
        <w:t>Le marché a pour objet :</w:t>
      </w:r>
    </w:p>
    <w:p>
      <w:pPr>
        <w:spacing w:after="120"/>
        <w:jc w:val="both"/>
      </w:pPr>
      <w:r>
        <w:rPr>
          <w:b w:val="off"/>
          <w:sz w:val="22"/>
        </w:rPr>
        <w:t>{{B02-OT-02}}.</w:t>
      </w:r>
    </w:p>
    <w:p>
      <w:pPr>
        <w:spacing w:after="120"/>
        <w:jc w:val="both"/>
      </w:pPr>
      <w:r>
        <w:rPr>
          <w:b w:val="off"/>
          <w:sz w:val="22"/>
        </w:rPr>
        <w:t>{{SI:ALLOTI}}</w:t>
      </w:r>
    </w:p>
    <w:p>
      <w:pPr>
        <w:spacing w:after="120"/>
        <w:jc w:val="both"/>
      </w:pPr>
      <w:r>
        <w:rPr>
          <w:b w:val="off"/>
          <w:sz w:val="22"/>
        </w:rPr>
        <w:t>Ces travaux comprennent {{B02-LV-01}}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Les caractéristiques techniques des ouvrages sont indiquées dans les Spécifications Techniques du présent Cahier des Prescriptions Spéciales (CPS).</w:t>
      </w:r>
    </w:p>
    <w:p>
      <w:pPr>
        <w:spacing w:after="120"/>
        <w:jc w:val="both"/>
      </w:pPr>
      <w:r>
        <w:rPr>
          <w:b w:val="off"/>
          <w:sz w:val="22"/>
        </w:rPr>
        <w:t>{{SI:TRANCHES}}</w:t>
      </w:r>
    </w:p>
    <w:p>
      <w:pPr>
        <w:spacing w:after="120"/>
        <w:jc w:val="both"/>
      </w:pPr>
      <w:r>
        <w:rPr>
          <w:b w:val="off"/>
          <w:sz w:val="22"/>
        </w:rPr>
        <w:t>Les travaux sont décomposés en tranches définies comme suit :</w:t>
      </w:r>
    </w:p>
    <w:p>
      <w:pPr>
        <w:spacing w:after="120"/>
        <w:jc w:val="both"/>
      </w:pPr>
      <w:r>
        <w:rPr>
          <w:b w:val="off"/>
          <w:sz w:val="22"/>
        </w:rPr>
        <w:t>- tranche ferme {{B02-LT-03}}</w:t>
      </w:r>
    </w:p>
    <w:p>
      <w:pPr>
        <w:spacing w:after="120"/>
        <w:jc w:val="both"/>
      </w:pPr>
      <w:r>
        <w:rPr>
          <w:b w:val="off"/>
          <w:sz w:val="22"/>
        </w:rPr>
        <w:t>{{SI:TRANCHE-C1}}</w:t>
      </w:r>
    </w:p>
    <w:p>
      <w:pPr>
        <w:spacing w:after="120"/>
        <w:jc w:val="both"/>
      </w:pPr>
      <w:r>
        <w:rPr>
          <w:b w:val="off"/>
          <w:sz w:val="22"/>
        </w:rPr>
        <w:t>- tranche conditionnelle 1 {{B02-LT-04}}</w:t>
      </w:r>
    </w:p>
    <w:p>
      <w:pPr>
        <w:spacing w:after="120"/>
        <w:jc w:val="both"/>
      </w:pPr>
      <w:r>
        <w:rPr>
          <w:b w:val="off"/>
          <w:sz w:val="22"/>
        </w:rPr>
        <w:t>{{FINSI:TRANCHE-C1}}</w:t>
      </w:r>
    </w:p>
    <w:p>
      <w:pPr>
        <w:spacing w:after="120"/>
        <w:jc w:val="both"/>
      </w:pPr>
      <w:r>
        <w:rPr>
          <w:b w:val="off"/>
          <w:sz w:val="22"/>
        </w:rPr>
        <w:t>{{SI:TRANCHE-C2}}</w:t>
      </w:r>
    </w:p>
    <w:p>
      <w:pPr>
        <w:spacing w:after="120"/>
        <w:jc w:val="both"/>
      </w:pPr>
      <w:r>
        <w:rPr>
          <w:b w:val="off"/>
          <w:sz w:val="22"/>
        </w:rPr>
        <w:t>- tranche conditionnelle 2 {{B02-LT-05}}</w:t>
      </w:r>
    </w:p>
    <w:p>
      <w:pPr>
        <w:spacing w:after="120"/>
        <w:jc w:val="both"/>
      </w:pPr>
      <w:r>
        <w:rPr>
          <w:b w:val="off"/>
          <w:sz w:val="22"/>
        </w:rPr>
        <w:t>{{FINSI:TRANCHE-C2}}</w:t>
      </w:r>
    </w:p>
    <w:p>
      <w:pPr>
        <w:spacing w:after="120"/>
        <w:jc w:val="both"/>
      </w:pPr>
      <w:r>
        <w:rPr>
          <w:b w:val="off"/>
          <w:sz w:val="22"/>
        </w:rPr>
        <w:t>Les délais d'affermissement de chaque tranche conditionnelle sont fixés à l'article 16 du CCAP</w:t>
      </w:r>
    </w:p>
    <w:p>
      <w:pPr>
        <w:spacing w:after="120"/>
        <w:jc w:val="both"/>
      </w:pPr>
      <w:r>
        <w:rPr>
          <w:b w:val="off"/>
          <w:sz w:val="22"/>
        </w:rPr>
        <w:t>{{FINSI:TRANCHES}}</w:t>
      </w:r>
    </w:p>
    <w:p>
      <w:pPr>
        <w:spacing w:after="160"/>
        <w:jc w:val="left"/>
      </w:pPr>
      <w:r>
        <w:rPr>
          <w:b w:val="on"/>
          <w:sz w:val="22"/>
        </w:rPr>
        <w:t>1.2.- Intervenants</w:t>
      </w:r>
    </w:p>
    <w:p>
      <w:pPr>
        <w:spacing w:after="160"/>
        <w:jc w:val="left"/>
      </w:pPr>
      <w:r>
        <w:rPr>
          <w:b w:val="on"/>
          <w:sz w:val="22"/>
        </w:rPr>
        <w:t>1.2.1. Maître de l'ouvrage</w:t>
      </w:r>
    </w:p>
    <w:p>
      <w:pPr>
        <w:spacing w:after="120"/>
        <w:jc w:val="both"/>
      </w:pPr>
      <w:r>
        <w:rPr>
          <w:b w:val="off"/>
          <w:sz w:val="22"/>
        </w:rPr>
        <w:t>{{B01-AC-01}}.</w:t>
      </w:r>
    </w:p>
    <w:p>
      <w:pPr>
        <w:spacing w:after="120"/>
        <w:jc w:val="both"/>
      </w:pPr>
      <w:r>
        <w:rPr>
          <w:b w:val="off"/>
          <w:sz w:val="22"/>
        </w:rPr>
        <w:t>PRMP ou son délégué:</w:t>
      </w:r>
    </w:p>
    <w:p>
      <w:pPr>
        <w:spacing w:after="120"/>
        <w:jc w:val="both"/>
      </w:pPr>
      <w:r>
        <w:rPr>
          <w:b w:val="off"/>
          <w:sz w:val="22"/>
        </w:rPr>
        <w:t>{{B01-AC-05}}.</w:t>
      </w:r>
    </w:p>
    <w:p>
      <w:pPr>
        <w:spacing w:after="120"/>
        <w:jc w:val="both"/>
      </w:pPr>
      <w:r>
        <w:rPr>
          <w:b w:val="off"/>
          <w:sz w:val="22"/>
        </w:rPr>
        <w:t>{{SI:MOD}}</w:t>
      </w:r>
    </w:p>
    <w:p>
      <w:pPr>
        <w:spacing w:after="160"/>
        <w:jc w:val="left"/>
      </w:pPr>
      <w:r>
        <w:rPr>
          <w:b w:val="on"/>
          <w:sz w:val="22"/>
        </w:rPr>
        <w:t>1.2.2. Maître d'Ouvrage Délégué</w:t>
      </w:r>
    </w:p>
    <w:p>
      <w:pPr>
        <w:spacing w:after="120"/>
        <w:jc w:val="both"/>
      </w:pPr>
      <w:r>
        <w:rPr>
          <w:b w:val="off"/>
          <w:sz w:val="22"/>
        </w:rPr>
        <w:t>Le Maître d'Ouvrage Délégué désigné par le Maître de l'ouvrage conformément aux dispositions de la Loi 99-03 réglementant la Maîtrise d'Ouvrage Publique et la Maîtrise d'Oeuvre Privée pour les travaux d'intérêt général et au mandat du &lt;date à compléter selon le projet&gt; est:</w:t>
      </w:r>
    </w:p>
    <w:p>
      <w:pPr>
        <w:spacing w:after="120"/>
        <w:jc w:val="both"/>
      </w:pPr>
      <w:r>
        <w:rPr>
          <w:b w:val="off"/>
          <w:sz w:val="22"/>
        </w:rPr>
        <w:t>{{B02-MW-04}}</w:t>
      </w:r>
    </w:p>
    <w:p>
      <w:pPr>
        <w:spacing w:after="120"/>
        <w:jc w:val="both"/>
      </w:pPr>
      <w:r>
        <w:rPr>
          <w:b w:val="off"/>
          <w:sz w:val="22"/>
        </w:rPr>
        <w:t>Les références au Maître de l'ouvrage dans la suite du présent CCAP concernent le Maître d'Ouvrage Délégué.</w:t>
      </w:r>
    </w:p>
    <w:p>
      <w:pPr>
        <w:spacing w:after="120"/>
        <w:jc w:val="both"/>
      </w:pPr>
      <w:r>
        <w:rPr>
          <w:b w:val="off"/>
          <w:sz w:val="22"/>
        </w:rPr>
        <w:t>{{FINSI:MOD}}</w:t>
      </w:r>
    </w:p>
    <w:p>
      <w:pPr>
        <w:spacing w:after="160"/>
        <w:jc w:val="left"/>
      </w:pPr>
      <w:r>
        <w:rPr>
          <w:b w:val="on"/>
          <w:sz w:val="22"/>
        </w:rPr>
        <w:t>1.2.3. Maître d'œuvre</w:t>
      </w:r>
    </w:p>
    <w:p>
      <w:pPr>
        <w:spacing w:after="120"/>
        <w:jc w:val="both"/>
      </w:pPr>
      <w:r>
        <w:rPr>
          <w:b w:val="off"/>
          <w:sz w:val="22"/>
        </w:rPr>
        <w:t>{{SI:MOE}}</w:t>
      </w:r>
    </w:p>
    <w:p>
      <w:pPr>
        <w:spacing w:after="120"/>
        <w:jc w:val="both"/>
      </w:pPr>
      <w:r>
        <w:rPr>
          <w:b w:val="off"/>
          <w:sz w:val="22"/>
        </w:rPr>
        <w:t>La maîtrise d'œuvre est assurée conformément au marché {{B02-MW-02}} en date &lt;à préciser&gt; par :</w:t>
      </w:r>
    </w:p>
    <w:p>
      <w:pPr>
        <w:spacing w:after="120"/>
        <w:jc w:val="both"/>
      </w:pPr>
      <w:r>
        <w:rPr>
          <w:b w:val="off"/>
          <w:sz w:val="22"/>
        </w:rPr>
        <w:t>{{B02-MW-01}}.</w:t>
      </w:r>
    </w:p>
    <w:p>
      <w:pPr>
        <w:spacing w:after="120"/>
        <w:jc w:val="both"/>
      </w:pPr>
      <w:r>
        <w:rPr>
          <w:b w:val="off"/>
          <w:sz w:val="22"/>
        </w:rPr>
        <w:t>{{FINSI:MOE}}</w:t>
      </w:r>
    </w:p>
    <w:p>
      <w:pPr>
        <w:spacing w:after="120"/>
        <w:jc w:val="both"/>
      </w:pPr>
      <w:r>
        <w:rPr>
          <w:b w:val="off"/>
          <w:sz w:val="22"/>
        </w:rPr>
        <w:t>{{SI:SANS-MOE}}</w:t>
      </w:r>
    </w:p>
    <w:p>
      <w:pPr>
        <w:spacing w:after="120"/>
        <w:jc w:val="both"/>
      </w:pPr>
      <w:r>
        <w:rPr>
          <w:b w:val="off"/>
          <w:sz w:val="22"/>
        </w:rPr>
        <w:t>Les tâches du maître d'œuvre sont assurées par &lt;préciser l'autorité désignée par la PRMP&gt;</w:t>
      </w:r>
    </w:p>
    <w:p>
      <w:pPr>
        <w:spacing w:after="120"/>
        <w:jc w:val="both"/>
      </w:pPr>
      <w:r>
        <w:rPr>
          <w:b w:val="off"/>
          <w:sz w:val="22"/>
        </w:rPr>
        <w:t>Dans ce cas, le maître d’œuvre sera désigné par une décision du Maître de l’ouvrage ou de la PRMP</w:t>
      </w:r>
    </w:p>
    <w:p>
      <w:pPr>
        <w:spacing w:after="120"/>
        <w:jc w:val="both"/>
      </w:pPr>
      <w:r>
        <w:rPr>
          <w:b w:val="off"/>
          <w:sz w:val="22"/>
        </w:rPr>
        <w:t>{{FINSI:SANS-MOE}}</w:t>
      </w:r>
    </w:p>
    <w:p>
      <w:pPr>
        <w:spacing w:after="160"/>
        <w:jc w:val="left"/>
      </w:pPr>
      <w:r>
        <w:rPr>
          <w:b w:val="on"/>
          <w:sz w:val="22"/>
        </w:rPr>
        <w:t>Article 2 - Notifications à l'Entrepreneur (CCAG Article 2.2.2)</w:t>
      </w:r>
    </w:p>
    <w:p>
      <w:pPr>
        <w:spacing w:after="120"/>
        <w:jc w:val="both"/>
      </w:pPr>
      <w:r>
        <w:rPr>
          <w:b w:val="off"/>
          <w:sz w:val="22"/>
        </w:rPr>
        <w:t>A défaut pour l'Entrepreneur d'élire domicile à proximité des travaux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{{B09-NE-01}}</w:t>
      </w:r>
    </w:p>
    <w:p>
      <w:pPr>
        <w:spacing w:after="160"/>
        <w:jc w:val="left"/>
      </w:pPr>
      <w:r>
        <w:rPr>
          <w:b w:val="on"/>
          <w:sz w:val="22"/>
        </w:rPr>
        <w:t>Article 3 - Estimations des engagements financiers du Maître de l'Ouvrage (CCAG Article 2.2.4)</w:t>
      </w:r>
    </w:p>
    <w:p>
      <w:pPr>
        <w:spacing w:after="120"/>
        <w:jc w:val="both"/>
      </w:pPr>
      <w:r>
        <w:rPr>
          <w:b w:val="off"/>
          <w:sz w:val="22"/>
        </w:rPr>
        <w:t>{{SI:ESTIMATIONS}}</w:t>
      </w:r>
    </w:p>
    <w:p>
      <w:pPr>
        <w:spacing w:after="120"/>
        <w:jc w:val="both"/>
      </w:pPr>
      <w:r>
        <w:rPr>
          <w:b w:val="off"/>
          <w:sz w:val="22"/>
        </w:rPr>
        <w:t>La communication par l'Entrepreneur des estimations de tous les paiements auquel il a droit sera effectuée: {{B08-EF-01}} jours avant la fin de chaque trimestre et/ou à la demande de ce dernier</w:t>
      </w:r>
    </w:p>
    <w:p>
      <w:pPr>
        <w:spacing w:after="120"/>
        <w:jc w:val="both"/>
      </w:pPr>
      <w:r>
        <w:rPr>
          <w:b w:val="off"/>
          <w:sz w:val="22"/>
        </w:rPr>
        <w:t>{{FINSI:ESTIMATIONS}}</w:t>
      </w:r>
    </w:p>
    <w:p>
      <w:pPr>
        <w:spacing w:after="160"/>
        <w:jc w:val="left"/>
      </w:pPr>
      <w:r>
        <w:rPr>
          <w:b w:val="on"/>
          <w:sz w:val="22"/>
        </w:rPr>
        <w:t>Article 4 - Groupements (CCAG Article 2.3)</w:t>
      </w:r>
    </w:p>
    <w:p>
      <w:pPr>
        <w:spacing w:after="120"/>
        <w:jc w:val="both"/>
      </w:pPr>
      <w:r>
        <w:rPr>
          <w:b w:val="off"/>
          <w:sz w:val="22"/>
        </w:rPr>
        <w:t>{{SI:GROUPEMENT-SOLIDAIRE}}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Les Entrepreneurs groupés seront considérés comme conjoints chacun des Entrepreneurs étant responsable de la réalisation du ou des lots qui lui sont assignés. Le mandataire des membres du groupement désigné dans l'Acte d'Engagement est solidaire de chacun des Entrepreneurs groupés dans les obligations contractuelles de ceux-ci à l'égard du Maître de l'Ouvrage.</w:t>
      </w:r>
    </w:p>
    <w:p>
      <w:pPr>
        <w:spacing w:after="120"/>
        <w:jc w:val="both"/>
      </w:pPr>
      <w:r>
        <w:rPr>
          <w:b w:val="off"/>
          <w:sz w:val="22"/>
        </w:rPr>
        <w:t>{{FINSI:GROUPEMENT-LIBRE}}</w:t>
      </w:r>
    </w:p>
    <w:p>
      <w:pPr>
        <w:spacing w:after="160"/>
        <w:jc w:val="left"/>
      </w:pPr>
      <w:r>
        <w:rPr>
          <w:b w:val="on"/>
          <w:sz w:val="22"/>
        </w:rPr>
        <w:t>Article 5 - Marchés à tranches conditionnelles (CCAG Article 2.6)</w:t>
      </w:r>
    </w:p>
    <w:p>
      <w:pPr>
        <w:spacing w:after="120"/>
        <w:jc w:val="both"/>
      </w:pPr>
      <w:r>
        <w:rPr>
          <w:b w:val="off"/>
          <w:sz w:val="22"/>
        </w:rPr>
        <w:t>{{SI:TRANCHES}}</w:t>
      </w:r>
    </w:p>
    <w:p>
      <w:pPr>
        <w:spacing w:after="120"/>
        <w:jc w:val="both"/>
      </w:pPr>
      <w:r>
        <w:rPr>
          <w:b w:val="off"/>
          <w:sz w:val="22"/>
        </w:rPr>
        <w:t>Délai de notification de l’ordre de service prescrivant de commencer les travaux de la tranche conditionnelle n°1: {{B02-LT-06}} à compter du début du délai d’exécution de la tranche ferme.</w:t>
      </w:r>
    </w:p>
    <w:p>
      <w:pPr>
        <w:spacing w:after="120"/>
        <w:jc w:val="both"/>
      </w:pPr>
      <w:r>
        <w:rPr>
          <w:b w:val="off"/>
          <w:sz w:val="22"/>
        </w:rPr>
        <w:t>{{SI:TRANCHE-C2}}</w:t>
      </w:r>
    </w:p>
    <w:p>
      <w:pPr>
        <w:spacing w:after="120"/>
        <w:jc w:val="both"/>
      </w:pPr>
      <w:r>
        <w:rPr>
          <w:b w:val="off"/>
          <w:sz w:val="22"/>
        </w:rPr>
        <w:t>Délai de notification de l’ordre de service prescrivant de commencer les travaux de la tranche conditionnelle n°2: {{B02-LT-07}} à compter du début du délai d’exécution de la tranche n°1.</w:t>
      </w:r>
    </w:p>
    <w:p>
      <w:pPr>
        <w:spacing w:after="120"/>
        <w:jc w:val="both"/>
      </w:pPr>
      <w:r>
        <w:rPr>
          <w:b w:val="off"/>
          <w:sz w:val="22"/>
        </w:rPr>
        <w:t>{{FINSI:TRANCHE-C2}}</w:t>
      </w:r>
    </w:p>
    <w:p>
      <w:pPr>
        <w:spacing w:after="120"/>
        <w:jc w:val="both"/>
      </w:pPr>
      <w:r>
        <w:rPr>
          <w:b w:val="off"/>
          <w:sz w:val="22"/>
        </w:rPr>
        <w:t>{{FINSI:TRANCHES}}</w:t>
      </w:r>
    </w:p>
    <w:p>
      <w:pPr>
        <w:spacing w:after="160"/>
        <w:jc w:val="left"/>
      </w:pPr>
      <w:r>
        <w:rPr>
          <w:b w:val="on"/>
          <w:sz w:val="22"/>
        </w:rPr>
        <w:t>Article 6 - Documents contractuels (CCAG Article 3)</w:t>
      </w:r>
    </w:p>
    <w:p>
      <w:pPr>
        <w:spacing w:after="120"/>
        <w:jc w:val="both"/>
      </w:pPr>
      <w:r>
        <w:rPr>
          <w:b w:val="off"/>
          <w:sz w:val="22"/>
        </w:rPr>
        <w:t>L’ordre de priorité des pièces contractuelles est celui fixé par l’article 3 du CCAG</w:t>
      </w:r>
    </w:p>
    <w:p>
      <w:pPr>
        <w:spacing w:after="120"/>
        <w:jc w:val="both"/>
      </w:pPr>
      <w:r>
        <w:rPr>
          <w:b w:val="off"/>
          <w:sz w:val="22"/>
        </w:rPr>
        <w:t>Constituent des documents contractuels en sus des documents prévus par les CCAG :</w:t>
      </w:r>
    </w:p>
    <w:p>
      <w:pPr>
        <w:spacing w:after="120"/>
        <w:jc w:val="both"/>
      </w:pPr>
      <w:r>
        <w:rPr>
          <w:b w:val="off"/>
          <w:sz w:val="22"/>
        </w:rPr>
        <w:t>{{B09-DC-01}}</w:t>
      </w:r>
    </w:p>
    <w:p>
      <w:pPr>
        <w:spacing w:after="120"/>
        <w:jc w:val="both"/>
      </w:pPr>
      <w:r>
        <w:rPr>
          <w:b w:val="off"/>
          <w:sz w:val="22"/>
        </w:rPr>
        <w:t>{{SI:BATIMENT}}</w:t>
      </w:r>
    </w:p>
    <w:p>
      <w:pPr>
        <w:spacing w:after="120"/>
        <w:jc w:val="both"/>
      </w:pPr>
      <w:r>
        <w:rPr>
          <w:b w:val="off"/>
          <w:sz w:val="22"/>
        </w:rPr>
        <w:t>i) - Arrêté n° 738 du 8 avril 1961 du Ministère des Travaux Publics portant approbation du Cahier des prescriptions communes (CPC) applicable à tous les travaux et ses modificatifs publiées QUINZE (15) jours précédant la date limite fixée pour la remise des offres soit le</w:t>
      </w:r>
    </w:p>
    <w:p>
      <w:pPr>
        <w:spacing w:after="120"/>
        <w:jc w:val="both"/>
      </w:pPr>
      <w:r>
        <w:rPr>
          <w:b w:val="off"/>
          <w:sz w:val="22"/>
        </w:rPr>
        <w:t>- Arrêté n° 3635 du31.12.64 portant approbation et la mise en application du Cahier des Prescriptions Techniques pour les Travaux de Bâtiments à Madagascar dit TBM et ses modificatifs publiés QUINZE (15) jours précèdant la date limite fixée pour la remise des offres</w:t>
      </w:r>
    </w:p>
    <w:p>
      <w:pPr>
        <w:spacing w:after="120"/>
        <w:jc w:val="both"/>
      </w:pPr>
      <w:r>
        <w:rPr>
          <w:b w:val="off"/>
          <w:sz w:val="22"/>
        </w:rPr>
        <w:t>- Arrêté n° 3634 du 31.12.64 portant approbation des conditions particulières de normalisation des éléments des bâtiments construits à Madagascar, et ses modificatifs publiées QUINZE (15) jours précédant la date limite fixée pour la remise des offres soit le</w:t>
      </w:r>
    </w:p>
    <w:p>
      <w:pPr>
        <w:spacing w:after="120"/>
        <w:jc w:val="both"/>
      </w:pPr>
      <w:r>
        <w:rPr>
          <w:b w:val="off"/>
          <w:sz w:val="22"/>
        </w:rPr>
        <w:t>{{FINSI:BATIMENT}}</w:t>
      </w:r>
    </w:p>
    <w:p>
      <w:pPr>
        <w:spacing w:after="160"/>
        <w:jc w:val="left"/>
      </w:pPr>
      <w:r>
        <w:rPr>
          <w:b w:val="on"/>
          <w:sz w:val="22"/>
        </w:rPr>
        <w:t>Article 7 - Forme et montant de la garantie de bonne exécution (CCAG Article 4)</w:t>
      </w:r>
    </w:p>
    <w:p>
      <w:pPr>
        <w:spacing w:after="160"/>
        <w:jc w:val="left"/>
      </w:pPr>
      <w:r>
        <w:rPr>
          <w:b w:val="on"/>
          <w:sz w:val="22"/>
        </w:rPr>
        <w:t>7.1. Cautionnement, Garantie Bancaire (CCAG Article 4.1)</w:t>
      </w:r>
    </w:p>
    <w:p>
      <w:pPr>
        <w:spacing w:after="120"/>
        <w:jc w:val="both"/>
      </w:pPr>
      <w:r>
        <w:rPr>
          <w:b w:val="off"/>
          <w:sz w:val="22"/>
        </w:rPr>
        <w:t>{{SI:SANS-GBE}}</w:t>
      </w:r>
    </w:p>
    <w:p>
      <w:pPr>
        <w:spacing w:after="120"/>
        <w:jc w:val="both"/>
      </w:pPr>
      <w:r>
        <w:rPr>
          <w:b w:val="off"/>
          <w:sz w:val="22"/>
        </w:rPr>
        <w:t>Aucune garantie d'exécution n'est requise.</w:t>
      </w:r>
    </w:p>
    <w:p>
      <w:pPr>
        <w:spacing w:after="120"/>
        <w:jc w:val="both"/>
      </w:pPr>
      <w:r>
        <w:rPr>
          <w:b w:val="off"/>
          <w:sz w:val="22"/>
        </w:rPr>
        <w:t>{{FINSI:SANS-GBE}}</w:t>
      </w:r>
    </w:p>
    <w:p>
      <w:pPr>
        <w:spacing w:after="120"/>
        <w:jc w:val="both"/>
      </w:pPr>
      <w:r>
        <w:rPr>
          <w:b w:val="off"/>
          <w:sz w:val="22"/>
        </w:rPr>
        <w:t>{{SI:GBE}}</w:t>
      </w:r>
    </w:p>
    <w:p>
      <w:pPr>
        <w:spacing w:after="120"/>
        <w:jc w:val="both"/>
      </w:pPr>
      <w:r>
        <w:rPr>
          <w:b w:val="off"/>
          <w:sz w:val="22"/>
        </w:rPr>
        <w:t>Le montant de la garantie de bonne exécution est fixé à :</w:t>
      </w:r>
    </w:p>
    <w:p>
      <w:pPr>
        <w:spacing w:after="120"/>
        <w:jc w:val="both"/>
      </w:pPr>
      <w:r>
        <w:rPr>
          <w:b w:val="off"/>
          <w:sz w:val="22"/>
        </w:rPr>
        <w:t>{{B05-GE-05.chiffres}} % du Prix du Marché toutes taxes comprises.</w:t>
      </w:r>
    </w:p>
    <w:p>
      <w:pPr>
        <w:spacing w:after="120"/>
        <w:jc w:val="both"/>
      </w:pPr>
      <w:r>
        <w:rPr>
          <w:b w:val="off"/>
          <w:sz w:val="22"/>
        </w:rPr>
        <w:t>{{SI:GBE-DEVISES}}</w:t>
      </w:r>
    </w:p>
    <w:p>
      <w:pPr>
        <w:spacing w:after="120"/>
        <w:jc w:val="both"/>
      </w:pPr>
      <w:r>
        <w:rPr>
          <w:b w:val="off"/>
          <w:sz w:val="22"/>
        </w:rPr>
        <w:t>Montant de la garantie de bonne exécution :</w:t>
      </w:r>
    </w:p>
    <w:p>
      <w:pPr>
        <w:spacing w:after="120"/>
        <w:jc w:val="both"/>
      </w:pPr>
      <w:r>
        <w:rPr>
          <w:b w:val="off"/>
          <w:sz w:val="22"/>
        </w:rPr>
        <w:t>{{B05-GE-02}} de la partie exprimée en devises du Prix du Marché toutes taxes comprises,</w:t>
      </w:r>
    </w:p>
    <w:p>
      <w:pPr>
        <w:spacing w:after="120"/>
        <w:jc w:val="both"/>
      </w:pPr>
      <w:r>
        <w:rPr>
          <w:b w:val="off"/>
          <w:sz w:val="22"/>
        </w:rPr>
        <w:t>et</w:t>
      </w:r>
    </w:p>
    <w:p>
      <w:pPr>
        <w:spacing w:after="120"/>
        <w:jc w:val="both"/>
      </w:pPr>
      <w:r>
        <w:rPr>
          <w:b w:val="off"/>
          <w:sz w:val="22"/>
        </w:rPr>
        <w:t>{{B05-GE-05.chiffres}} % de la partie exprimée en Ariary du Prix du Marché toutes taxes comprises.</w:t>
      </w:r>
    </w:p>
    <w:p>
      <w:pPr>
        <w:spacing w:after="120"/>
        <w:jc w:val="both"/>
      </w:pPr>
      <w:r>
        <w:rPr>
          <w:b w:val="off"/>
          <w:sz w:val="22"/>
        </w:rPr>
        <w:t>{{FINSI:GBE-DEVISES}}</w:t>
      </w:r>
    </w:p>
    <w:p>
      <w:pPr>
        <w:spacing w:after="120"/>
        <w:jc w:val="both"/>
      </w:pPr>
      <w:r>
        <w:rPr>
          <w:b w:val="off"/>
          <w:sz w:val="22"/>
        </w:rPr>
        <w:t>La garantie de bonne exécution devra être fournie sous forme:</w:t>
      </w:r>
    </w:p>
    <w:p>
      <w:pPr>
        <w:spacing w:after="120"/>
        <w:jc w:val="both"/>
      </w:pPr>
      <w:r>
        <w:rPr>
          <w:b w:val="off"/>
          <w:sz w:val="22"/>
        </w:rPr>
        <w:t>{{SI:GBE-BANCAIRE}}</w:t>
      </w:r>
    </w:p>
    <w:p>
      <w:pPr>
        <w:spacing w:after="120"/>
        <w:jc w:val="both"/>
      </w:pPr>
      <w:r>
        <w:rPr>
          <w:b w:val="off"/>
          <w:sz w:val="22"/>
        </w:rPr>
        <w:t>- soit de garantie bancaire conformément au modèle figurant en Annexe &lt;numéro&gt; au présent CCAP;</w:t>
      </w:r>
    </w:p>
    <w:p>
      <w:pPr>
        <w:spacing w:after="120"/>
        <w:jc w:val="both"/>
      </w:pPr>
      <w:r>
        <w:rPr>
          <w:b w:val="off"/>
          <w:sz w:val="22"/>
        </w:rPr>
        <w:t>{{FINSI:GBE-BANCAIRE}}</w:t>
      </w:r>
    </w:p>
    <w:p>
      <w:pPr>
        <w:spacing w:after="120"/>
        <w:jc w:val="both"/>
      </w:pPr>
      <w:r>
        <w:rPr>
          <w:b w:val="off"/>
          <w:sz w:val="22"/>
        </w:rPr>
        <w:t>{{SI:GBE-CAUTION}}</w:t>
      </w:r>
    </w:p>
    <w:p>
      <w:pPr>
        <w:spacing w:after="120"/>
        <w:jc w:val="both"/>
      </w:pPr>
      <w:r>
        <w:rPr>
          <w:b w:val="off"/>
          <w:sz w:val="22"/>
        </w:rPr>
        <w:t>- soit une caution personnelle et solidaire conformément au modèle figurant en Annexe &lt;numéro&gt; au présent CCAP;</w:t>
      </w:r>
    </w:p>
    <w:p>
      <w:pPr>
        <w:spacing w:after="120"/>
        <w:jc w:val="both"/>
      </w:pPr>
      <w:r>
        <w:rPr>
          <w:b w:val="off"/>
          <w:sz w:val="22"/>
        </w:rPr>
        <w:t>{{FINSI:GBE-CAUTION}}</w:t>
      </w:r>
    </w:p>
    <w:p>
      <w:pPr>
        <w:spacing w:after="120"/>
        <w:jc w:val="both"/>
      </w:pPr>
      <w:r>
        <w:rPr>
          <w:b w:val="off"/>
          <w:sz w:val="22"/>
        </w:rPr>
        <w:t>{{SI:GBE-CHEQUE}}</w:t>
      </w:r>
    </w:p>
    <w:p>
      <w:pPr>
        <w:spacing w:after="120"/>
        <w:jc w:val="both"/>
      </w:pPr>
      <w:r>
        <w:rPr>
          <w:b w:val="off"/>
          <w:sz w:val="22"/>
        </w:rPr>
        <w:t>- soit un chèque de banque établi à l'ordre de &lt;à préciser&gt;.</w:t>
      </w:r>
    </w:p>
    <w:p>
      <w:pPr>
        <w:spacing w:after="120"/>
        <w:jc w:val="both"/>
      </w:pPr>
      <w:r>
        <w:rPr>
          <w:b w:val="off"/>
          <w:sz w:val="22"/>
        </w:rPr>
        <w:t>{{FINSI:GBE-CHEQUE}}</w:t>
      </w:r>
    </w:p>
    <w:p>
      <w:pPr>
        <w:spacing w:after="120"/>
        <w:jc w:val="both"/>
      </w:pPr>
      <w:r>
        <w:rPr>
          <w:b w:val="off"/>
          <w:sz w:val="22"/>
        </w:rPr>
        <w:t>{{SI:LIBERATION-MOITIE}}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{{FINSI:LIBERATION-MOITIE}}</w:t>
      </w:r>
    </w:p>
    <w:p>
      <w:pPr>
        <w:spacing w:after="120"/>
        <w:jc w:val="both"/>
      </w:pPr>
      <w:r>
        <w:rPr>
          <w:b w:val="off"/>
          <w:sz w:val="22"/>
        </w:rPr>
        <w:t>{{SI:LIBERATION-TOTALE}}</w:t>
      </w:r>
    </w:p>
    <w:p>
      <w:pPr>
        <w:spacing w:after="120"/>
        <w:jc w:val="both"/>
      </w:pPr>
      <w:r>
        <w:rPr>
          <w:b w:val="off"/>
          <w:sz w:val="22"/>
        </w:rPr>
        <w:t>La garantie de bonne exécution est libérée à 100% dans les 30 jours suivant la date de la réception définitive</w:t>
      </w:r>
    </w:p>
    <w:p>
      <w:pPr>
        <w:spacing w:after="120"/>
        <w:jc w:val="both"/>
      </w:pPr>
      <w:r>
        <w:rPr>
          <w:b w:val="off"/>
          <w:sz w:val="22"/>
        </w:rPr>
        <w:t>{{FINSI:LIBERATION-TOTALE}}</w:t>
      </w:r>
    </w:p>
    <w:p>
      <w:pPr>
        <w:spacing w:after="120"/>
        <w:jc w:val="both"/>
      </w:pPr>
      <w:r>
        <w:rPr>
          <w:b w:val="off"/>
          <w:sz w:val="22"/>
        </w:rPr>
        <w:t>{{FINSI:GBE}}</w:t>
      </w:r>
    </w:p>
    <w:p>
      <w:pPr>
        <w:spacing w:after="160"/>
        <w:jc w:val="left"/>
      </w:pPr>
      <w:r>
        <w:rPr>
          <w:b w:val="on"/>
          <w:sz w:val="22"/>
        </w:rPr>
        <w:t>7.2. Retenue de garantie (CCAG Article 4.2)</w:t>
      </w:r>
    </w:p>
    <w:p>
      <w:pPr>
        <w:spacing w:after="120"/>
        <w:jc w:val="both"/>
      </w:pPr>
      <w:r>
        <w:rPr>
          <w:b w:val="off"/>
          <w:sz w:val="22"/>
        </w:rPr>
        <w:t>{{SI:RETENUE-NON}}</w:t>
      </w:r>
    </w:p>
    <w:p>
      <w:pPr>
        <w:spacing w:after="120"/>
        <w:jc w:val="both"/>
      </w:pPr>
      <w:r>
        <w:rPr>
          <w:b w:val="off"/>
          <w:sz w:val="22"/>
        </w:rPr>
        <w:t>Non applicable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de {{B05-RG-02.chiffres}} % est exercée sur le montant de chaque acompte et du solde par le comptable assignataire des paiements. La retenue de garantie peut être remplacée par une garantie bancaire, ou une caution, comme indiqué au paragraphe 7.1 ci - dessus.</w:t>
      </w:r>
    </w:p>
    <w:p>
      <w:pPr>
        <w:spacing w:after="120"/>
        <w:jc w:val="both"/>
      </w:pPr>
      <w:r>
        <w:rPr>
          <w:b w:val="off"/>
          <w:sz w:val="22"/>
        </w:rPr>
        <w:t>{{FINSI:RETENUE-OUI}}</w:t>
      </w:r>
    </w:p>
    <w:p>
      <w:pPr>
        <w:spacing w:after="160"/>
        <w:jc w:val="left"/>
      </w:pPr>
      <w:r>
        <w:rPr>
          <w:b w:val="on"/>
          <w:sz w:val="22"/>
        </w:rPr>
        <w:t>7.3. Garantie de restitution d'avance (CCAG Article 4.3)</w:t>
      </w:r>
    </w:p>
    <w:p>
      <w:pPr>
        <w:spacing w:after="120"/>
        <w:jc w:val="both"/>
      </w:pPr>
      <w:r>
        <w:rPr>
          <w:b w:val="off"/>
          <w:sz w:val="22"/>
        </w:rPr>
        <w:t>{{SI:RESTITUTION-NON}}</w:t>
      </w:r>
    </w:p>
    <w:p>
      <w:pPr>
        <w:spacing w:after="120"/>
        <w:jc w:val="both"/>
      </w:pPr>
      <w:r>
        <w:rPr>
          <w:b w:val="off"/>
          <w:sz w:val="22"/>
        </w:rPr>
        <w:t>Non applicable</w:t>
      </w:r>
    </w:p>
    <w:p>
      <w:pPr>
        <w:spacing w:after="120"/>
        <w:jc w:val="both"/>
      </w:pPr>
      <w:r>
        <w:rPr>
          <w:b w:val="off"/>
          <w:sz w:val="22"/>
        </w:rPr>
        <w:t>{{FINSI:RESTITUTION-NON}}</w:t>
      </w:r>
    </w:p>
    <w:p>
      <w:pPr>
        <w:spacing w:after="120"/>
        <w:jc w:val="both"/>
      </w:pPr>
      <w:r>
        <w:rPr>
          <w:b w:val="off"/>
          <w:sz w:val="22"/>
        </w:rPr>
        <w:t>{{SI:RESTITUTION-OUI}}</w:t>
      </w:r>
    </w:p>
    <w:p>
      <w:pPr>
        <w:spacing w:after="120"/>
        <w:jc w:val="both"/>
      </w:pPr>
      <w:r>
        <w:rPr>
          <w:b w:val="off"/>
          <w:sz w:val="22"/>
        </w:rPr>
        <w:t>Si l'Entrepreneur choisit de recevoir l'avance forfaitaire il doit joindre à la demande de paiement de cette avance une garantie bancaire à première demande ou une caution de restitution d’avance, conforme au modèle annexé au présent CCAP.</w:t>
      </w:r>
    </w:p>
    <w:p>
      <w:pPr>
        <w:spacing w:after="120"/>
        <w:jc w:val="both"/>
      </w:pPr>
      <w:r>
        <w:rPr>
          <w:b w:val="off"/>
          <w:sz w:val="22"/>
        </w:rPr>
        <w:t>{{FINSI:RESTITUTION-OUI}}</w:t>
      </w:r>
    </w:p>
    <w:p>
      <w:pPr>
        <w:spacing w:after="160"/>
        <w:jc w:val="left"/>
      </w:pPr>
      <w:r>
        <w:rPr>
          <w:b w:val="on"/>
          <w:sz w:val="22"/>
        </w:rPr>
        <w:t>7.4. Autres garanties (CCAG Article 4.3)</w:t>
      </w:r>
    </w:p>
    <w:p>
      <w:pPr>
        <w:spacing w:after="120"/>
        <w:jc w:val="both"/>
      </w:pPr>
      <w:r>
        <w:rPr>
          <w:b w:val="off"/>
          <w:sz w:val="22"/>
        </w:rPr>
        <w:t>{{SI:AUTRES-GARANTIES-NON}}</w:t>
      </w:r>
    </w:p>
    <w:p>
      <w:pPr>
        <w:spacing w:after="120"/>
        <w:jc w:val="both"/>
      </w:pPr>
      <w:r>
        <w:rPr>
          <w:b w:val="off"/>
          <w:sz w:val="22"/>
        </w:rPr>
        <w:t>Non applicable</w:t>
      </w:r>
    </w:p>
    <w:p>
      <w:pPr>
        <w:spacing w:after="120"/>
        <w:jc w:val="both"/>
      </w:pPr>
      <w:r>
        <w:rPr>
          <w:b w:val="off"/>
          <w:sz w:val="22"/>
        </w:rPr>
        <w:t>{{FINSI:AUTRES-GARANTIES-NON}}</w:t>
      </w:r>
    </w:p>
    <w:p>
      <w:pPr>
        <w:spacing w:after="120"/>
        <w:jc w:val="both"/>
      </w:pPr>
      <w:r>
        <w:rPr>
          <w:b w:val="off"/>
          <w:sz w:val="22"/>
        </w:rPr>
        <w:t>{{SI:AUTRES-GARANTIES-OUI}}</w:t>
      </w:r>
    </w:p>
    <w:p>
      <w:pPr>
        <w:spacing w:after="120"/>
        <w:jc w:val="both"/>
      </w:pPr>
      <w:r>
        <w:rPr>
          <w:b w:val="off"/>
          <w:sz w:val="22"/>
        </w:rPr>
        <w:t>{{B05-AG-01}}</w:t>
      </w:r>
    </w:p>
    <w:p>
      <w:pPr>
        <w:spacing w:after="120"/>
        <w:jc w:val="both"/>
      </w:pPr>
      <w:r>
        <w:rPr>
          <w:b w:val="off"/>
          <w:sz w:val="22"/>
        </w:rPr>
        <w:t>{{FINSI:AUTRES-GARANTIES-OUI}}</w:t>
      </w:r>
    </w:p>
    <w:p>
      <w:pPr>
        <w:spacing w:after="160"/>
        <w:jc w:val="left"/>
      </w:pPr>
      <w:r>
        <w:rPr>
          <w:b w:val="on"/>
          <w:sz w:val="22"/>
        </w:rPr>
        <w:t>Article 8 - Assurances (CCAG Article 4.4)</w:t>
      </w:r>
    </w:p>
    <w:p>
      <w:pPr>
        <w:spacing w:after="120"/>
        <w:jc w:val="both"/>
      </w:pPr>
      <w:r>
        <w:rPr>
          <w:b w:val="off"/>
          <w:sz w:val="22"/>
        </w:rPr>
        <w:t>Les polices d’assurances suivantes sont requises au titre du présent Marché.</w:t>
      </w:r>
    </w:p>
    <w:p>
      <w:pPr>
        <w:spacing w:after="120"/>
        <w:jc w:val="both"/>
      </w:pPr>
      <w:r>
        <w:rPr>
          <w:b w:val="off"/>
          <w:sz w:val="22"/>
        </w:rPr>
        <w:t>{{B09-AC-01}}</w:t>
      </w:r>
    </w:p>
    <w:p>
      <w:pPr>
        <w:spacing w:after="120"/>
        <w:jc w:val="both"/>
      </w:pPr>
      <w:r>
        <w:rPr>
          <w:b w:val="off"/>
          <w:sz w:val="22"/>
        </w:rPr>
        <w:t>{{B09-AC-02}}</w:t>
      </w:r>
    </w:p>
    <w:p>
      <w:pPr>
        <w:spacing w:after="120"/>
        <w:jc w:val="both"/>
      </w:pPr>
      <w:r>
        <w:rPr>
          <w:b w:val="off"/>
          <w:sz w:val="22"/>
        </w:rPr>
        <w:t>{{SI:BATIMENT}}</w:t>
      </w:r>
    </w:p>
    <w:p>
      <w:pPr>
        <w:spacing w:after="120"/>
        <w:jc w:val="both"/>
      </w:pPr>
      <w:r>
        <w:rPr>
          <w:b w:val="off"/>
          <w:sz w:val="22"/>
        </w:rPr>
        <w:t>{{B09-AC-03}}</w:t>
      </w:r>
    </w:p>
    <w:p>
      <w:pPr>
        <w:spacing w:after="120"/>
        <w:jc w:val="both"/>
      </w:pPr>
      <w:r>
        <w:rPr>
          <w:b w:val="off"/>
          <w:sz w:val="22"/>
        </w:rPr>
        <w:t>{{FINSI:BATIMENT}}</w:t>
      </w:r>
    </w:p>
    <w:p>
      <w:pPr>
        <w:spacing w:after="160"/>
        <w:jc w:val="left"/>
      </w:pPr>
      <w:r>
        <w:rPr>
          <w:b w:val="on"/>
          <w:sz w:val="22"/>
        </w:rPr>
        <w:t>Article 9. - Obligation de discrétion – Mesure de sécurité (CCAG Article 7)</w:t>
      </w:r>
    </w:p>
    <w:p>
      <w:pPr>
        <w:spacing w:after="120"/>
        <w:jc w:val="both"/>
      </w:pPr>
      <w:r>
        <w:rPr>
          <w:b w:val="off"/>
          <w:sz w:val="22"/>
        </w:rPr>
        <w:t>{{SI:DISCRETION-NON}}</w:t>
      </w:r>
    </w:p>
    <w:p>
      <w:pPr>
        <w:spacing w:after="120"/>
        <w:jc w:val="both"/>
      </w:pPr>
      <w:r>
        <w:rPr>
          <w:b w:val="off"/>
          <w:sz w:val="22"/>
        </w:rPr>
        <w:t>Non applicable</w:t>
      </w:r>
    </w:p>
    <w:p>
      <w:pPr>
        <w:spacing w:after="120"/>
        <w:jc w:val="both"/>
      </w:pPr>
      <w:r>
        <w:rPr>
          <w:b w:val="off"/>
          <w:sz w:val="22"/>
        </w:rPr>
        <w:t>{{FINSI:DISCRETION-NON}}</w:t>
      </w:r>
    </w:p>
    <w:p>
      <w:pPr>
        <w:spacing w:after="120"/>
        <w:jc w:val="both"/>
      </w:pPr>
      <w:r>
        <w:rPr>
          <w:b w:val="off"/>
          <w:sz w:val="22"/>
        </w:rPr>
        <w:t>{{SI:DISCRETION-OUI}}</w:t>
      </w:r>
    </w:p>
    <w:p>
      <w:pPr>
        <w:spacing w:after="120"/>
        <w:jc w:val="both"/>
      </w:pPr>
      <w:r>
        <w:rPr>
          <w:b w:val="off"/>
          <w:sz w:val="22"/>
        </w:rPr>
        <w:t>Les travaux, objet du présent Marché, sont à exécuter dans un lieu où des mesures de sécurité ou de protection du secret s'appliquent. L'Entrepreneur doit en conséquence observer les dispositions :</w:t>
      </w:r>
    </w:p>
    <w:p>
      <w:pPr>
        <w:spacing w:after="120"/>
        <w:jc w:val="both"/>
      </w:pPr>
      <w:r>
        <w:rPr>
          <w:b w:val="off"/>
          <w:sz w:val="22"/>
        </w:rPr>
        <w:t>{{FINSI:DISCRETION-OUI}}</w:t>
      </w:r>
    </w:p>
    <w:p>
      <w:pPr>
        <w:spacing w:after="120"/>
        <w:jc w:val="both"/>
      </w:pPr>
      <w:r>
        <w:rPr>
          <w:b w:val="off"/>
          <w:sz w:val="22"/>
        </w:rPr>
        <w:t>{{SI:DISCRETION-NOTIFICATION}}</w:t>
      </w:r>
    </w:p>
    <w:p>
      <w:pPr>
        <w:spacing w:after="120"/>
        <w:jc w:val="both"/>
      </w:pPr>
      <w:r>
        <w:rPr>
          <w:b w:val="off"/>
          <w:sz w:val="22"/>
        </w:rPr>
        <w:t>que le Maître d'œuvre communiquera lors de la notification de l'attribution du Marché,</w:t>
      </w:r>
    </w:p>
    <w:p>
      <w:pPr>
        <w:spacing w:after="120"/>
        <w:jc w:val="both"/>
      </w:pPr>
      <w:r>
        <w:rPr>
          <w:b w:val="off"/>
          <w:sz w:val="22"/>
        </w:rPr>
        <w:t>{{FINSI:DISCRETION-NOTIFICATION}}</w:t>
      </w:r>
    </w:p>
    <w:p>
      <w:pPr>
        <w:spacing w:after="120"/>
        <w:jc w:val="both"/>
      </w:pPr>
      <w:r>
        <w:rPr>
          <w:b w:val="off"/>
          <w:sz w:val="22"/>
        </w:rPr>
        <w:t>{{SI:DISCRETION-ANNEXE}}</w:t>
      </w:r>
    </w:p>
    <w:p>
      <w:pPr>
        <w:spacing w:after="120"/>
        <w:jc w:val="both"/>
      </w:pPr>
      <w:r>
        <w:rPr>
          <w:b w:val="off"/>
          <w:sz w:val="22"/>
        </w:rPr>
        <w:t>mentionnées en Annexe &lt;n°&gt; au présent CCAP.</w:t>
      </w:r>
    </w:p>
    <w:p>
      <w:pPr>
        <w:spacing w:after="120"/>
        <w:jc w:val="both"/>
      </w:pPr>
      <w:r>
        <w:rPr>
          <w:b w:val="off"/>
          <w:sz w:val="22"/>
        </w:rPr>
        <w:t>{{FINSI:DISCRETION-ANNEXE}}</w:t>
      </w:r>
    </w:p>
    <w:p>
      <w:pPr>
        <w:spacing w:after="160"/>
        <w:jc w:val="left"/>
      </w:pPr>
      <w:r>
        <w:rPr>
          <w:b w:val="on"/>
          <w:sz w:val="22"/>
        </w:rPr>
        <w:t>Article 10 - Contrôle des prix de revient (CCAG Article 8)</w:t>
      </w:r>
    </w:p>
    <w:p>
      <w:pPr>
        <w:spacing w:after="120"/>
        <w:jc w:val="both"/>
      </w:pPr>
      <w:r>
        <w:rPr>
          <w:b w:val="off"/>
          <w:sz w:val="22"/>
        </w:rPr>
        <w:t>{{SI:PRIX-REVIENT-NON}}</w:t>
      </w:r>
    </w:p>
    <w:p>
      <w:pPr>
        <w:spacing w:after="120"/>
        <w:jc w:val="both"/>
      </w:pPr>
      <w:r>
        <w:rPr>
          <w:b w:val="off"/>
          <w:sz w:val="22"/>
        </w:rPr>
        <w:t>Non applicable.</w:t>
      </w:r>
    </w:p>
    <w:p>
      <w:pPr>
        <w:spacing w:after="120"/>
        <w:jc w:val="both"/>
      </w:pPr>
      <w:r>
        <w:rPr>
          <w:b w:val="off"/>
          <w:sz w:val="22"/>
        </w:rPr>
        <w:t>{{FINSI:PRIX-REVIENT-NON}}</w:t>
      </w:r>
    </w:p>
    <w:p>
      <w:pPr>
        <w:spacing w:after="120"/>
        <w:jc w:val="both"/>
      </w:pPr>
      <w:r>
        <w:rPr>
          <w:b w:val="off"/>
          <w:sz w:val="22"/>
        </w:rPr>
        <w:t>{{SI:PRIX-REVIENT-OUI}}</w:t>
      </w:r>
    </w:p>
    <w:p>
      <w:pPr>
        <w:spacing w:after="120"/>
        <w:jc w:val="both"/>
      </w:pPr>
      <w:r>
        <w:rPr>
          <w:b w:val="off"/>
          <w:sz w:val="22"/>
        </w:rPr>
        <w:t>Les dispositions de l'Article 8 du CCAG relatives au contrôle des prix de revient s'appliquent.</w:t>
      </w:r>
    </w:p>
    <w:p>
      <w:pPr>
        <w:spacing w:after="120"/>
        <w:jc w:val="both"/>
      </w:pPr>
      <w:r>
        <w:rPr>
          <w:b w:val="off"/>
          <w:sz w:val="22"/>
        </w:rPr>
        <w:t>{{FINSI:PRIX-REVIENT-OUI}}</w:t>
      </w:r>
    </w:p>
    <w:p>
      <w:pPr>
        <w:spacing w:after="120"/>
        <w:jc w:val="both"/>
      </w:pPr>
      <w:r>
        <w:rPr>
          <w:b w:val="off"/>
          <w:sz w:val="22"/>
        </w:rPr>
        <w:t>{{SI:PRIX-REVIENT-ELEMENTS}}</w:t>
      </w:r>
    </w:p>
    <w:p>
      <w:pPr>
        <w:spacing w:after="120"/>
        <w:jc w:val="both"/>
      </w:pPr>
      <w:r>
        <w:rPr>
          <w:b w:val="off"/>
          <w:sz w:val="22"/>
        </w:rPr>
        <w:t>{{B09-PV-02}}</w:t>
      </w:r>
    </w:p>
    <w:p>
      <w:pPr>
        <w:spacing w:after="120"/>
        <w:jc w:val="both"/>
      </w:pPr>
      <w:r>
        <w:rPr>
          <w:b w:val="off"/>
          <w:sz w:val="22"/>
        </w:rPr>
        <w:t>{{FINSI:PRIX-REVIENT-ELEMENTS}}</w:t>
      </w:r>
    </w:p>
    <w:p>
      <w:pPr>
        <w:spacing w:after="160"/>
        <w:jc w:val="left"/>
      </w:pPr>
      <w:r>
        <w:rPr>
          <w:b w:val="on"/>
          <w:sz w:val="22"/>
        </w:rPr>
        <w:t>Article 11 - Prix du Marché (CCAG article 10)</w:t>
      </w:r>
    </w:p>
    <w:p>
      <w:pPr>
        <w:spacing w:after="160"/>
        <w:jc w:val="left"/>
      </w:pPr>
      <w:r>
        <w:rPr>
          <w:b w:val="on"/>
          <w:sz w:val="22"/>
        </w:rPr>
        <w:t>11.1 Contenu des prix du Marché (CCAG article 10.1)</w:t>
      </w:r>
    </w:p>
    <w:p>
      <w:pPr>
        <w:spacing w:after="120"/>
        <w:jc w:val="both"/>
      </w:pPr>
      <w:r>
        <w:rPr>
          <w:b w:val="off"/>
          <w:sz w:val="22"/>
        </w:rPr>
        <w:t>Les prix indiqués dans le marché incluent toutes les sujétions indiquées à l’article 10.1 du CCAG, y compris les sujétions particulières ci-après :</w:t>
      </w:r>
    </w:p>
    <w:p>
      <w:pPr>
        <w:spacing w:after="120"/>
        <w:jc w:val="both"/>
      </w:pPr>
      <w:r>
        <w:rPr>
          <w:b w:val="off"/>
          <w:sz w:val="22"/>
        </w:rPr>
        <w:t>{{SI:SUJETION-OCCUPE}}</w:t>
      </w:r>
    </w:p>
    <w:p>
      <w:pPr>
        <w:spacing w:after="120"/>
        <w:jc w:val="both"/>
      </w:pPr>
      <w:r>
        <w:rPr>
          <w:b w:val="off"/>
          <w:sz w:val="22"/>
        </w:rPr>
        <w:t>{{B09-CH-01}}</w:t>
      </w:r>
    </w:p>
    <w:p>
      <w:pPr>
        <w:spacing w:after="120"/>
        <w:jc w:val="both"/>
      </w:pPr>
      <w:r>
        <w:rPr>
          <w:b w:val="off"/>
          <w:sz w:val="22"/>
        </w:rPr>
        <w:t>{{FINSI:SUJETION-OCCUPE}}</w:t>
      </w:r>
    </w:p>
    <w:p>
      <w:pPr>
        <w:spacing w:after="120"/>
        <w:jc w:val="both"/>
      </w:pPr>
      <w:r>
        <w:rPr>
          <w:b w:val="off"/>
          <w:sz w:val="22"/>
        </w:rPr>
        <w:t>{{SI:SUJETION-DELAI}}</w:t>
      </w:r>
    </w:p>
    <w:p>
      <w:pPr>
        <w:spacing w:after="120"/>
        <w:jc w:val="both"/>
      </w:pPr>
      <w:r>
        <w:rPr>
          <w:b w:val="off"/>
          <w:sz w:val="22"/>
        </w:rPr>
        <w:t>{{B09-CH-02}}</w:t>
      </w:r>
    </w:p>
    <w:p>
      <w:pPr>
        <w:spacing w:after="120"/>
        <w:jc w:val="both"/>
      </w:pPr>
      <w:r>
        <w:rPr>
          <w:b w:val="off"/>
          <w:sz w:val="22"/>
        </w:rPr>
        <w:t>{{FINSI:SUJETION-DELAI}}</w:t>
      </w:r>
    </w:p>
    <w:p>
      <w:pPr>
        <w:spacing w:after="120"/>
        <w:jc w:val="both"/>
      </w:pPr>
      <w:r>
        <w:rPr>
          <w:b w:val="off"/>
          <w:sz w:val="22"/>
        </w:rPr>
        <w:t>{{SI:SUJETION-HORAIRE}}</w:t>
      </w:r>
    </w:p>
    <w:p>
      <w:pPr>
        <w:spacing w:after="120"/>
        <w:jc w:val="both"/>
      </w:pPr>
      <w:r>
        <w:rPr>
          <w:b w:val="off"/>
          <w:sz w:val="22"/>
        </w:rPr>
        <w:t>{{B09-CH-03}}</w:t>
      </w:r>
    </w:p>
    <w:p>
      <w:pPr>
        <w:spacing w:after="120"/>
        <w:jc w:val="both"/>
      </w:pPr>
      <w:r>
        <w:rPr>
          <w:b w:val="off"/>
          <w:sz w:val="22"/>
        </w:rPr>
        <w:t>{{FINSI:SUJETION-HORAIRE}}</w:t>
      </w:r>
    </w:p>
    <w:p>
      <w:pPr>
        <w:spacing w:after="120"/>
        <w:jc w:val="both"/>
      </w:pPr>
      <w:r>
        <w:rPr>
          <w:b w:val="off"/>
          <w:sz w:val="22"/>
        </w:rPr>
        <w:t>{{SI:SUJETION-CLES}}</w:t>
      </w:r>
    </w:p>
    <w:p>
      <w:pPr>
        <w:spacing w:after="120"/>
        <w:jc w:val="both"/>
      </w:pPr>
      <w:r>
        <w:rPr>
          <w:b w:val="off"/>
          <w:sz w:val="22"/>
        </w:rPr>
        <w:t>{{B09-CH-04}}</w:t>
      </w:r>
    </w:p>
    <w:p>
      <w:pPr>
        <w:spacing w:after="120"/>
        <w:jc w:val="both"/>
      </w:pPr>
      <w:r>
        <w:rPr>
          <w:b w:val="off"/>
          <w:sz w:val="22"/>
        </w:rPr>
        <w:t>{{FINSI:SUJETION-CLES}}</w:t>
      </w:r>
    </w:p>
    <w:p>
      <w:pPr>
        <w:spacing w:after="120"/>
        <w:jc w:val="both"/>
      </w:pPr>
      <w:r>
        <w:rPr>
          <w:b w:val="off"/>
          <w:sz w:val="22"/>
        </w:rPr>
        <w:t>{{SI:SUJETION-PRESTATIONS}}</w:t>
      </w:r>
    </w:p>
    <w:p>
      <w:pPr>
        <w:spacing w:after="120"/>
        <w:jc w:val="both"/>
      </w:pPr>
      <w:r>
        <w:rPr>
          <w:b w:val="off"/>
          <w:sz w:val="22"/>
        </w:rPr>
        <w:t>{{B09-CH-05}}</w:t>
      </w:r>
    </w:p>
    <w:p>
      <w:pPr>
        <w:spacing w:after="120"/>
        <w:jc w:val="both"/>
      </w:pPr>
      <w:r>
        <w:rPr>
          <w:b w:val="off"/>
          <w:sz w:val="22"/>
        </w:rPr>
        <w:t>{{FINSI:SUJETION-PRESTATIONS}}</w:t>
      </w:r>
    </w:p>
    <w:p>
      <w:pPr>
        <w:spacing w:after="160"/>
        <w:jc w:val="left"/>
      </w:pPr>
      <w:r>
        <w:rPr>
          <w:b w:val="on"/>
          <w:sz w:val="22"/>
        </w:rPr>
        <w:t>11.2. Monnaie (CCAG article 10.1)</w:t>
      </w:r>
    </w:p>
    <w:p>
      <w:pPr>
        <w:spacing w:after="120"/>
        <w:jc w:val="both"/>
      </w:pPr>
      <w:r>
        <w:rPr>
          <w:b w:val="off"/>
          <w:sz w:val="22"/>
        </w:rPr>
        <w:t>{{SI:DEVISES}}</w:t>
      </w:r>
    </w:p>
    <w:p>
      <w:pPr>
        <w:spacing w:after="120"/>
        <w:jc w:val="both"/>
      </w:pPr>
      <w:r>
        <w:rPr>
          <w:b w:val="off"/>
          <w:sz w:val="22"/>
        </w:rPr>
        <w:t>Les prix du Marché peuvent comporter un part exprimé et payable en devises convertibles, correspondant à des dépenses que l'Entrepreneur justifie engager hors de la République de Madagascar. Les prix en devises seront exprimés et payés en &lt;nom de la devise&gt;.</w:t>
      </w:r>
    </w:p>
    <w:p>
      <w:pPr>
        <w:spacing w:after="120"/>
        <w:jc w:val="both"/>
      </w:pPr>
      <w:r>
        <w:rPr>
          <w:b w:val="off"/>
          <w:sz w:val="22"/>
        </w:rPr>
        <w:t>Pour l'évaluation du montant du marché et la réalisation des règlements le taux de change utilisé sera le taux publié par la Banque Centrale de Madagascar le quinzième jour précédant la date limite de remise des offres.</w:t>
      </w:r>
    </w:p>
    <w:p>
      <w:pPr>
        <w:spacing w:after="120"/>
        <w:jc w:val="both"/>
      </w:pPr>
      <w:r>
        <w:rPr>
          <w:b w:val="off"/>
          <w:sz w:val="22"/>
        </w:rPr>
        <w:t>Le règlement en devises est subordonné à la signature d'une convention entre Monsieur le Ministre chargé des finances et l'Entrepreneur, accompagné d'un tableau détaillé justifiant les dépenses en devises, qui doit être annexé au Marché approuvé</w:t>
      </w:r>
    </w:p>
    <w:p>
      <w:pPr>
        <w:spacing w:after="120"/>
        <w:jc w:val="both"/>
      </w:pPr>
      <w:r>
        <w:rPr>
          <w:b w:val="off"/>
          <w:sz w:val="22"/>
        </w:rPr>
        <w:t>{{FINSI:DEVISES}}</w:t>
      </w:r>
    </w:p>
    <w:p>
      <w:pPr>
        <w:spacing w:after="160"/>
        <w:jc w:val="left"/>
      </w:pPr>
      <w:r>
        <w:rPr>
          <w:b w:val="on"/>
          <w:sz w:val="22"/>
        </w:rPr>
        <w:t>11.3. Type de prix (CCAG article 10.2 et 10.3)</w:t>
      </w:r>
    </w:p>
    <w:p>
      <w:pPr>
        <w:spacing w:after="120"/>
        <w:jc w:val="both"/>
      </w:pPr>
      <w:r>
        <w:rPr>
          <w:b w:val="off"/>
          <w:sz w:val="22"/>
        </w:rPr>
        <w:t>{{SI:FORFAIT}}</w:t>
      </w:r>
    </w:p>
    <w:p>
      <w:pPr>
        <w:spacing w:after="120"/>
        <w:jc w:val="both"/>
      </w:pPr>
      <w:r>
        <w:rPr>
          <w:b w:val="off"/>
          <w:sz w:val="22"/>
        </w:rPr>
        <w:t>Le Marché est traité sur la base d’un prix forfaitaire résultant du Détail Quantitatif et Estimatif qui est joint à l'Acte d'Engagement</w:t>
      </w:r>
    </w:p>
    <w:p>
      <w:pPr>
        <w:spacing w:after="120"/>
        <w:jc w:val="both"/>
      </w:pPr>
      <w:r>
        <w:rPr>
          <w:b w:val="off"/>
          <w:sz w:val="22"/>
        </w:rPr>
        <w:t>{{FINSI:FORFAIT}}</w:t>
      </w:r>
    </w:p>
    <w:p>
      <w:pPr>
        <w:spacing w:after="120"/>
        <w:jc w:val="both"/>
      </w:pPr>
      <w:r>
        <w:rPr>
          <w:b w:val="off"/>
          <w:sz w:val="22"/>
        </w:rPr>
        <w:t>{{SI:UNITAIRES}}</w:t>
      </w:r>
    </w:p>
    <w:p>
      <w:pPr>
        <w:spacing w:after="120"/>
        <w:jc w:val="both"/>
      </w:pPr>
      <w:r>
        <w:rPr>
          <w:b w:val="off"/>
          <w:sz w:val="22"/>
        </w:rPr>
        <w:t>Le Marché est traité sur la base de prix unitaires figurant au Bordereau des Prix et du Détail Quantitatif et Estimatif annexé à L'Acte d'Engagement décomposé dans le Sous Détail des Prix Unitaires</w:t>
      </w:r>
    </w:p>
    <w:p>
      <w:pPr>
        <w:spacing w:after="120"/>
        <w:jc w:val="both"/>
      </w:pPr>
      <w:r>
        <w:rPr>
          <w:b w:val="off"/>
          <w:sz w:val="22"/>
        </w:rPr>
        <w:t>{{FINSI:UNITAIRES}}</w:t>
      </w:r>
    </w:p>
    <w:p>
      <w:pPr>
        <w:spacing w:after="160"/>
        <w:jc w:val="left"/>
      </w:pPr>
      <w:r>
        <w:rPr>
          <w:b w:val="on"/>
          <w:sz w:val="22"/>
        </w:rPr>
        <w:t>11.4.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mois d'établissement des prix fixés dans l'acte d'engagement.</w:t>
      </w:r>
    </w:p>
    <w:p>
      <w:pPr>
        <w:spacing w:after="120"/>
        <w:jc w:val="both"/>
      </w:pPr>
      <w:r>
        <w:rPr>
          <w:b w:val="off"/>
          <w:sz w:val="22"/>
        </w:rPr>
        <w:t>Le (les) indice(s) applicables sont:</w:t>
      </w:r>
    </w:p>
    <w:p>
      <w:pPr>
        <w:spacing w:after="120"/>
        <w:jc w:val="both"/>
      </w:pPr>
      <w:r>
        <w:rPr>
          <w:b w:val="off"/>
          <w:sz w:val="22"/>
        </w:rPr>
        <w:t>&lt;indiquer la nature des indices et les sources où ils peuvent être trouvés&gt;</w:t>
      </w:r>
    </w:p>
    <w:p>
      <w:pPr>
        <w:spacing w:after="120"/>
        <w:jc w:val="both"/>
      </w:pPr>
      <w:r>
        <w:rPr>
          <w:b w:val="off"/>
          <w:sz w:val="22"/>
        </w:rPr>
        <w:t>Les coefficients d’actualisation seront arrondis au millième supérieur.</w:t>
      </w:r>
    </w:p>
    <w:p>
      <w:pPr>
        <w:spacing w:after="120"/>
        <w:jc w:val="both"/>
      </w:pPr>
      <w:r>
        <w:rPr>
          <w:b w:val="off"/>
          <w:sz w:val="22"/>
        </w:rPr>
        <w:t>{{FINSI:FERME}}</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12 - Règlement des comptes (CCAG Article 11)</w:t>
      </w:r>
    </w:p>
    <w:p>
      <w:pPr>
        <w:spacing w:after="160"/>
        <w:jc w:val="left"/>
      </w:pPr>
      <w:r>
        <w:rPr>
          <w:b w:val="on"/>
          <w:sz w:val="22"/>
        </w:rPr>
        <w:t>12.1. Modalités de règlement des comptes (CCAG Article 11.1)</w:t>
      </w:r>
    </w:p>
    <w:p>
      <w:pPr>
        <w:spacing w:after="120"/>
        <w:jc w:val="both"/>
      </w:pPr>
      <w:r>
        <w:rPr>
          <w:b w:val="off"/>
          <w:sz w:val="22"/>
        </w:rPr>
        <w:t>{{B08-RE-01}}</w:t>
      </w:r>
    </w:p>
    <w:p>
      <w:pPr>
        <w:spacing w:after="160"/>
        <w:jc w:val="left"/>
      </w:pPr>
      <w:r>
        <w:rPr>
          <w:b w:val="on"/>
          <w:sz w:val="22"/>
        </w:rPr>
        <w:t>12.2. Travaux en régie</w:t>
      </w:r>
    </w:p>
    <w:p>
      <w:pPr>
        <w:spacing w:after="120"/>
        <w:jc w:val="both"/>
      </w:pPr>
      <w:r>
        <w:rPr>
          <w:b w:val="off"/>
          <w:sz w:val="22"/>
        </w:rPr>
        <w:t>{{SI:REGIE-NON}}</w:t>
      </w:r>
    </w:p>
    <w:p>
      <w:pPr>
        <w:spacing w:after="120"/>
        <w:jc w:val="both"/>
      </w:pPr>
      <w:r>
        <w:rPr>
          <w:b w:val="off"/>
          <w:sz w:val="22"/>
        </w:rPr>
        <w:t>Non applicable</w:t>
      </w:r>
    </w:p>
    <w:p>
      <w:pPr>
        <w:spacing w:after="120"/>
        <w:jc w:val="both"/>
      </w:pPr>
      <w:r>
        <w:rPr>
          <w:b w:val="off"/>
          <w:sz w:val="22"/>
        </w:rPr>
        <w:t>{{FINSI:REGIE-NON}}</w:t>
      </w:r>
    </w:p>
    <w:p>
      <w:pPr>
        <w:spacing w:after="120"/>
        <w:jc w:val="both"/>
      </w:pPr>
      <w:r>
        <w:rPr>
          <w:b w:val="off"/>
          <w:sz w:val="22"/>
        </w:rPr>
        <w:t>{{SI:REGIE-OUI}}</w:t>
      </w:r>
    </w:p>
    <w:p>
      <w:pPr>
        <w:spacing w:after="120"/>
        <w:jc w:val="both"/>
      </w:pPr>
      <w:r>
        <w:rPr>
          <w:b w:val="off"/>
          <w:sz w:val="22"/>
        </w:rPr>
        <w:t>Coefficient de majoration des salaires et des indemnités passibles des charges salariales:</w:t>
      </w:r>
    </w:p>
    <w:p>
      <w:pPr>
        <w:spacing w:after="120"/>
        <w:jc w:val="both"/>
      </w:pPr>
      <w:r>
        <w:rPr>
          <w:b w:val="off"/>
          <w:sz w:val="22"/>
        </w:rPr>
        <w:t>{{B08-RE-03}}</w:t>
      </w:r>
    </w:p>
    <w:p>
      <w:pPr>
        <w:spacing w:after="120"/>
        <w:jc w:val="both"/>
      </w:pPr>
      <w:r>
        <w:rPr>
          <w:b w:val="off"/>
          <w:sz w:val="22"/>
        </w:rPr>
        <w:t>Coefficient de majoration des autres frais:</w:t>
      </w:r>
    </w:p>
    <w:p>
      <w:pPr>
        <w:spacing w:after="120"/>
        <w:jc w:val="both"/>
      </w:pPr>
      <w:r>
        <w:rPr>
          <w:b w:val="off"/>
          <w:sz w:val="22"/>
        </w:rPr>
        <w:t>&lt;Indiquer le taux de frais généraux admis et le taux de marge admis&gt;</w:t>
      </w:r>
    </w:p>
    <w:p>
      <w:pPr>
        <w:spacing w:after="120"/>
        <w:jc w:val="both"/>
      </w:pPr>
      <w:r>
        <w:rPr>
          <w:b w:val="off"/>
          <w:sz w:val="22"/>
        </w:rPr>
        <w:t>L'obligation pour l'Entrepreneur d'exécuter des travaux en régie cesse lorsque le montant total des droits à remboursement atteint &lt;pourcentage&gt; du montant du Marché.</w:t>
      </w:r>
    </w:p>
    <w:p>
      <w:pPr>
        <w:spacing w:after="120"/>
        <w:jc w:val="both"/>
      </w:pPr>
      <w:r>
        <w:rPr>
          <w:b w:val="off"/>
          <w:sz w:val="22"/>
        </w:rPr>
        <w:t>{{FINSI:REGIE-OUI}}</w:t>
      </w:r>
    </w:p>
    <w:p>
      <w:pPr>
        <w:spacing w:after="160"/>
        <w:jc w:val="left"/>
      </w:pPr>
      <w:r>
        <w:rPr>
          <w:b w:val="on"/>
          <w:sz w:val="22"/>
        </w:rPr>
        <w:t>Article 13 - Acomptes sur approvisionnements (CCAG Article 11.4)</w:t>
      </w:r>
    </w:p>
    <w:p>
      <w:pPr>
        <w:spacing w:after="120"/>
        <w:jc w:val="both"/>
      </w:pPr>
      <w:r>
        <w:rPr>
          <w:b w:val="off"/>
          <w:sz w:val="22"/>
        </w:rPr>
        <w:t>{{SI:APPROVISIONNEMENTS-NON}}</w:t>
      </w:r>
    </w:p>
    <w:p>
      <w:pPr>
        <w:spacing w:after="120"/>
        <w:jc w:val="both"/>
      </w:pPr>
      <w:r>
        <w:rPr>
          <w:b w:val="off"/>
          <w:sz w:val="22"/>
        </w:rPr>
        <w:t>Non applicable</w:t>
      </w:r>
    </w:p>
    <w:p>
      <w:pPr>
        <w:spacing w:after="120"/>
        <w:jc w:val="both"/>
      </w:pPr>
      <w:r>
        <w:rPr>
          <w:b w:val="off"/>
          <w:sz w:val="22"/>
        </w:rPr>
        <w:t>{{FINSI:APPROVISIONNEMENTS-NON}}</w:t>
      </w:r>
    </w:p>
    <w:p>
      <w:pPr>
        <w:spacing w:after="120"/>
        <w:jc w:val="both"/>
      </w:pPr>
      <w:r>
        <w:rPr>
          <w:b w:val="off"/>
          <w:sz w:val="22"/>
        </w:rPr>
        <w:t>{{SI:APPROVISIONNEMENTS-OUI}}</w:t>
      </w:r>
    </w:p>
    <w:p>
      <w:pPr>
        <w:spacing w:after="120"/>
        <w:jc w:val="both"/>
      </w:pPr>
      <w:r>
        <w:rPr>
          <w:b w:val="off"/>
          <w:sz w:val="22"/>
        </w:rPr>
        <w:t>{{B08-AP-02}}</w:t>
      </w:r>
    </w:p>
    <w:p>
      <w:pPr>
        <w:spacing w:after="120"/>
        <w:jc w:val="both"/>
      </w:pPr>
      <w:r>
        <w:rPr>
          <w:b w:val="off"/>
          <w:sz w:val="22"/>
        </w:rPr>
        <w:t>{{FINSI:APPROVISIONNEMENTS-OUI}}</w:t>
      </w:r>
    </w:p>
    <w:p>
      <w:pPr>
        <w:spacing w:after="160"/>
        <w:jc w:val="left"/>
      </w:pPr>
      <w:r>
        <w:rPr>
          <w:b w:val="on"/>
          <w:sz w:val="22"/>
        </w:rPr>
        <w:t>Article 14. - Avances (CCAG Article 11.5)</w:t>
      </w:r>
    </w:p>
    <w:p>
      <w:pPr>
        <w:spacing w:after="160"/>
        <w:jc w:val="left"/>
      </w:pPr>
      <w:r>
        <w:rPr>
          <w:b w:val="on"/>
          <w:sz w:val="22"/>
        </w:rPr>
        <w:t>14.1. Avance forfaitaire</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{{B08-AF-03.chiffres}}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{{B08-AF-04.chiffres}} % du montant en monnaie nationale des travaux à exécuter, et</w:t>
      </w:r>
    </w:p>
    <w:p>
      <w:pPr>
        <w:spacing w:after="120"/>
        <w:jc w:val="both"/>
      </w:pPr>
      <w:r>
        <w:rPr>
          <w:b w:val="off"/>
          <w:sz w:val="22"/>
        </w:rPr>
        <w:t>{{B08-AF-05.chiffres}} % du montant en devises des travaux à exécuter.</w:t>
      </w:r>
    </w:p>
    <w:p>
      <w:pPr>
        <w:spacing w:after="120"/>
        <w:jc w:val="both"/>
      </w:pPr>
      <w:r>
        <w:rPr>
          <w:b w:val="off"/>
          <w:sz w:val="22"/>
        </w:rPr>
        <w:t>{{FINSI:AVANCE-DEVISES}}</w:t>
      </w:r>
    </w:p>
    <w:p>
      <w:pPr>
        <w:spacing w:after="160"/>
        <w:jc w:val="left"/>
      </w:pPr>
      <w:r>
        <w:rPr>
          <w:b w:val="on"/>
          <w:sz w:val="22"/>
        </w:rPr>
        <w:t>Article 15 - Intérêts moratoires dus à l'Entrepreneur (CCAG Article 11.6)</w:t>
      </w:r>
    </w:p>
    <w:p>
      <w:pPr>
        <w:spacing w:after="120"/>
        <w:jc w:val="both"/>
      </w:pPr>
      <w:r>
        <w:rPr>
          <w:b w:val="off"/>
          <w:sz w:val="22"/>
        </w:rPr>
        <w:t>Taux des intérêts moratoires: taux directeur de la Banque Centrale de Madagascar en vigueur à la date à laquelle les intérêts moratoires auront commencé à courir, augmenté de un point.</w:t>
      </w:r>
    </w:p>
    <w:p>
      <w:pPr>
        <w:spacing w:after="160"/>
        <w:jc w:val="left"/>
      </w:pPr>
      <w:r>
        <w:rPr>
          <w:b w:val="on"/>
          <w:sz w:val="22"/>
        </w:rPr>
        <w:t>Article 16 - Modalités de règlement des comptes (CCAG Article 13)</w:t>
      </w:r>
    </w:p>
    <w:p>
      <w:pPr>
        <w:spacing w:after="120"/>
        <w:jc w:val="both"/>
      </w:pPr>
      <w:r>
        <w:rPr>
          <w:b w:val="off"/>
          <w:sz w:val="22"/>
        </w:rPr>
        <w:t>Décomptes mensuels (CCAG Article 13.1)</w:t>
      </w:r>
    </w:p>
    <w:p>
      <w:pPr>
        <w:spacing w:after="120"/>
        <w:jc w:val="both"/>
      </w:pPr>
      <w:r>
        <w:rPr>
          <w:b w:val="off"/>
          <w:sz w:val="22"/>
        </w:rPr>
        <w:t>{{SI:REGLEMENT-UNIQUE}}</w:t>
      </w:r>
    </w:p>
    <w:p>
      <w:pPr>
        <w:spacing w:after="120"/>
        <w:jc w:val="both"/>
      </w:pPr>
      <w:r>
        <w:rPr>
          <w:b w:val="off"/>
          <w:sz w:val="22"/>
        </w:rPr>
        <w:t>Les comptes seront réglés en une seule fois.</w:t>
      </w:r>
    </w:p>
    <w:p>
      <w:pPr>
        <w:spacing w:after="120"/>
        <w:jc w:val="both"/>
      </w:pPr>
      <w:r>
        <w:rPr>
          <w:b w:val="off"/>
          <w:sz w:val="22"/>
        </w:rPr>
        <w:t>{{FINSI:REGLEMENT-UNIQUE}}</w:t>
      </w:r>
    </w:p>
    <w:p>
      <w:pPr>
        <w:spacing w:after="120"/>
        <w:jc w:val="both"/>
      </w:pPr>
      <w:r>
        <w:rPr>
          <w:b w:val="off"/>
          <w:sz w:val="22"/>
        </w:rPr>
        <w:t>{{SI:DECOMPTES-MENSUELS}}</w:t>
      </w:r>
    </w:p>
    <w:p>
      <w:pPr>
        <w:spacing w:after="120"/>
        <w:jc w:val="both"/>
      </w:pPr>
      <w:r>
        <w:rPr>
          <w:b w:val="off"/>
          <w:sz w:val="22"/>
        </w:rPr>
        <w:t>Délai de remise du projet de décompte: au plus tard &lt; nombre de jours&gt; jours ouvrables avant la fin du mois suivant le mois de réalisation des prestations considérées, ou à la date qui y sera substituée par l'avis de réunion adressé par le maître d’œuvre.</w:t>
      </w:r>
    </w:p>
    <w:p>
      <w:pPr>
        <w:spacing w:after="120"/>
        <w:jc w:val="both"/>
      </w:pPr>
      <w:r>
        <w:rPr>
          <w:b w:val="off"/>
          <w:sz w:val="22"/>
        </w:rPr>
        <w:t>{{FINSI:DECOMPTES-MENSUELS}}</w:t>
      </w:r>
    </w:p>
    <w:p>
      <w:pPr>
        <w:spacing w:after="120"/>
        <w:jc w:val="both"/>
      </w:pPr>
      <w:r>
        <w:rPr>
          <w:b w:val="off"/>
          <w:sz w:val="22"/>
        </w:rPr>
        <w:t>{{SI:UNITAIRES}}</w:t>
      </w:r>
    </w:p>
    <w:p>
      <w:pPr>
        <w:spacing w:after="120"/>
        <w:jc w:val="both"/>
      </w:pPr>
      <w:r>
        <w:rPr>
          <w:b w:val="off"/>
          <w:sz w:val="22"/>
        </w:rPr>
        <w:t>Le règlement des sommes dues à l’Entrepreneur s’effectuera par application des prix unitaires qui résultent du bordereau des prix et du détail quantitatif et estimatif aux quantités réellement exécutées prises en attachement contradictoire.</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 règlement des sommes dues à l’Entrepreneur s’effectuera par application du prix forfaitaire résultant du détail quantitatif et estimatif selon le découpage en centième par corps d’état des travaux terminés comme suit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 Réception provisoire…………………… 5%</w:t>
      </w:r>
    </w:p>
    <w:p>
      <w:pPr>
        <w:spacing w:after="120"/>
        <w:jc w:val="both"/>
      </w:pPr>
      <w:r>
        <w:rPr>
          <w:b w:val="off"/>
          <w:sz w:val="22"/>
        </w:rPr>
        <w:t>- Total………………………………………100% du détail quantitatif et estimatif</w:t>
      </w:r>
    </w:p>
    <w:p>
      <w:pPr>
        <w:spacing w:after="120"/>
        <w:jc w:val="both"/>
      </w:pPr>
      <w:r>
        <w:rPr>
          <w:b w:val="off"/>
          <w:sz w:val="22"/>
        </w:rPr>
        <w:t>{{FINSI:FORFAIT}}</w:t>
      </w:r>
    </w:p>
    <w:p>
      <w:pPr>
        <w:spacing w:after="160"/>
        <w:jc w:val="left"/>
      </w:pPr>
      <w:r>
        <w:rPr>
          <w:b w:val="on"/>
          <w:sz w:val="22"/>
        </w:rPr>
        <w:t>Article 17 - Augmentation dans la masse des travaux (CCAG Article 15)</w:t>
      </w:r>
    </w:p>
    <w:p>
      <w:pPr>
        <w:spacing w:after="120"/>
        <w:jc w:val="both"/>
      </w:pPr>
      <w:r>
        <w:rPr>
          <w:b w:val="off"/>
          <w:sz w:val="22"/>
        </w:rPr>
        <w:t>Le changement dans la masse des travaux peut être demandé par ordre de service sans nécessité de conclure un avenant lorsque ces changements n'entraîne pas de variations supérieures à {{B09-MA-01}} de la masse initiale des travaux.</w:t>
      </w:r>
    </w:p>
    <w:p>
      <w:pPr>
        <w:spacing w:after="160"/>
        <w:jc w:val="left"/>
      </w:pPr>
      <w:r>
        <w:rPr>
          <w:b w:val="on"/>
          <w:sz w:val="22"/>
        </w:rPr>
        <w:t>Article 18 - Diminution dans la masse des travaux (CCAG Article 16)</w:t>
      </w:r>
    </w:p>
    <w:p>
      <w:pPr>
        <w:spacing w:after="120"/>
        <w:jc w:val="both"/>
      </w:pPr>
      <w:r>
        <w:rPr>
          <w:b w:val="off"/>
          <w:sz w:val="22"/>
        </w:rPr>
        <w:t>Le changement dans la masse des travaux peut être demandé par ordre de service sans nécessité de conclure un avenant lorsque ces changements n'entraîne pas de diminution supérieure à {{B09-MA-02}} de la masse initiale des travaux.</w:t>
      </w:r>
    </w:p>
    <w:p>
      <w:pPr>
        <w:spacing w:after="120"/>
        <w:jc w:val="both"/>
      </w:pPr>
      <w:r>
        <w:rPr>
          <w:b w:val="off"/>
          <w:sz w:val="22"/>
        </w:rPr>
        <w:t>La diminution dans la masse des travaux au delà de {{B09-MA-03}} de la masse initiale des travaux ouvre droit à indemnisation pour l'Entrepreneur.</w:t>
      </w:r>
    </w:p>
    <w:p>
      <w:pPr>
        <w:spacing w:after="160"/>
        <w:jc w:val="left"/>
      </w:pPr>
      <w:r>
        <w:rPr>
          <w:b w:val="on"/>
          <w:sz w:val="22"/>
        </w:rPr>
        <w:t>Article 19 - Changement dans l'importance des diverses natures d'ouvrage (CCAG Article 17)</w:t>
      </w:r>
    </w:p>
    <w:p>
      <w:pPr>
        <w:spacing w:after="120"/>
        <w:jc w:val="both"/>
      </w:pPr>
      <w:r>
        <w:rPr>
          <w:b w:val="off"/>
          <w:sz w:val="22"/>
        </w:rPr>
        <w:t>Le changement des quantités de certaines natures d'ouvrages peut être demandé par ordre de service sans nécessité de conclure un avenant lorsque ces changements n'entraîne pas de diminution ou d'augmentation de ces quantités supérieure à {{B09-MA-04}} des quantités portées au détail quantitatif et estimatif.</w:t>
      </w:r>
    </w:p>
    <w:p>
      <w:pPr>
        <w:spacing w:after="160"/>
        <w:jc w:val="left"/>
      </w:pPr>
      <w:r>
        <w:rPr>
          <w:b w:val="on"/>
          <w:sz w:val="22"/>
        </w:rPr>
        <w:t>Article 20 - Cas de force majeure (CCAG Article 18.3)</w:t>
      </w:r>
    </w:p>
    <w:p>
      <w:pPr>
        <w:spacing w:after="120"/>
        <w:jc w:val="both"/>
      </w:pPr>
      <w:r>
        <w:rPr>
          <w:b w:val="off"/>
          <w:sz w:val="22"/>
        </w:rPr>
        <w:t>{{SI:FORCE-MAJEURE-OUI}}</w:t>
      </w:r>
    </w:p>
    <w:p>
      <w:pPr>
        <w:spacing w:after="120"/>
        <w:jc w:val="both"/>
      </w:pPr>
      <w:r>
        <w:rPr>
          <w:b w:val="off"/>
          <w:sz w:val="22"/>
        </w:rPr>
        <w:t>Constitueront des cas de force majeure, les intempéries excédant les seuils suivants :</w:t>
      </w:r>
    </w:p>
    <w:p>
      <w:pPr>
        <w:spacing w:after="120"/>
        <w:jc w:val="both"/>
      </w:pPr>
      <w:r>
        <w:rPr>
          <w:b w:val="off"/>
          <w:sz w:val="22"/>
        </w:rPr>
        <w:t>{{B09-FM-02}}</w:t>
      </w:r>
    </w:p>
    <w:p>
      <w:pPr>
        <w:spacing w:after="120"/>
        <w:jc w:val="both"/>
      </w:pPr>
      <w:r>
        <w:rPr>
          <w:b w:val="off"/>
          <w:sz w:val="22"/>
        </w:rPr>
        <w:t>En vue de l’application éventuelle du deuxième des articles 18.1 et 19.2 du CCAG, le délai d’exécution des travaux sera prolongé d’un nombre de jours égal à celui pendant lequel un au moins des phénomènes naturels ci-après dépassera les intensités et durées limitées ci-après:</w:t>
      </w:r>
    </w:p>
    <w:p>
      <w:pPr>
        <w:spacing w:after="120"/>
        <w:jc w:val="both"/>
      </w:pPr>
      <w:r>
        <w:rPr>
          <w:b w:val="off"/>
          <w:sz w:val="22"/>
        </w:rPr>
        <w:t>précipitations journalières supérieures ou égales à &lt;préciser le niveau&gt;</w:t>
      </w:r>
    </w:p>
    <w:p>
      <w:pPr>
        <w:spacing w:after="120"/>
        <w:jc w:val="both"/>
      </w:pPr>
      <w:r>
        <w:rPr>
          <w:b w:val="off"/>
          <w:sz w:val="22"/>
        </w:rPr>
        <w:t>force du vent supérieure à &lt;préciser le niveau&gt;</w:t>
      </w:r>
    </w:p>
    <w:p>
      <w:pPr>
        <w:spacing w:after="120"/>
        <w:jc w:val="both"/>
      </w:pPr>
      <w:r>
        <w:rPr>
          <w:b w:val="off"/>
          <w:sz w:val="22"/>
        </w:rPr>
        <w:t>Phénomènes constatés à &lt;préciser le lieu d’observation de ces phénomènes&gt;</w:t>
      </w:r>
    </w:p>
    <w:p>
      <w:pPr>
        <w:spacing w:after="120"/>
        <w:jc w:val="both"/>
      </w:pPr>
      <w:r>
        <w:rPr>
          <w:b w:val="off"/>
          <w:sz w:val="22"/>
        </w:rPr>
        <w:t>{{FINSI:FORCE-MAJEURE-OUI}}</w:t>
      </w:r>
    </w:p>
    <w:p>
      <w:pPr>
        <w:spacing w:after="120"/>
        <w:jc w:val="both"/>
      </w:pPr>
      <w:r>
        <w:rPr>
          <w:b w:val="off"/>
          <w:sz w:val="22"/>
        </w:rPr>
        <w:t>{{SI:FORCE-MAJEURE-NON}}</w:t>
      </w:r>
    </w:p>
    <w:p>
      <w:pPr>
        <w:spacing w:after="120"/>
        <w:jc w:val="both"/>
      </w:pPr>
      <w:r>
        <w:rPr>
          <w:b w:val="off"/>
          <w:sz w:val="22"/>
        </w:rPr>
        <w:t>Non applicable</w:t>
      </w:r>
    </w:p>
    <w:p>
      <w:pPr>
        <w:spacing w:after="120"/>
        <w:jc w:val="both"/>
      </w:pPr>
      <w:r>
        <w:rPr>
          <w:b w:val="off"/>
          <w:sz w:val="22"/>
        </w:rPr>
        <w:t>{{FINSI:FORCE-MAJEURE-NON}}</w:t>
      </w:r>
    </w:p>
    <w:p>
      <w:pPr>
        <w:spacing w:after="160"/>
        <w:jc w:val="left"/>
      </w:pPr>
      <w:r>
        <w:rPr>
          <w:b w:val="on"/>
          <w:sz w:val="22"/>
        </w:rPr>
        <w:t>Article 21 - Délai d'exécution (CCAG Article 19.1)</w:t>
      </w:r>
    </w:p>
    <w:p>
      <w:pPr>
        <w:spacing w:after="120"/>
        <w:jc w:val="both"/>
      </w:pPr>
      <w:r>
        <w:rPr>
          <w:b w:val="off"/>
          <w:sz w:val="22"/>
        </w:rPr>
        <w:t>Le délai d'exécution est fixé à {{B09-DL-01}} à compter du lendemain de la date de notification de l’ordre de service de commencer les travaux qui interviendra après la notification à l’Entrepreneur du marché approuvé</w:t>
      </w:r>
    </w:p>
    <w:p>
      <w:pPr>
        <w:spacing w:after="160"/>
        <w:jc w:val="left"/>
      </w:pPr>
      <w:r>
        <w:rPr>
          <w:b w:val="on"/>
          <w:sz w:val="22"/>
        </w:rPr>
        <w:t>Article 22 - Modification des délais d'exécution (CCAG Article 19.2)</w:t>
      </w:r>
    </w:p>
    <w:p>
      <w:pPr>
        <w:spacing w:after="120"/>
        <w:jc w:val="both"/>
      </w:pPr>
      <w:r>
        <w:rPr>
          <w:b w:val="off"/>
          <w:sz w:val="22"/>
        </w:rPr>
        <w:t>- Prolongation ou report du délai d'exécution par la PRMP (CCAG article 19.2.1)</w:t>
      </w:r>
    </w:p>
    <w:p>
      <w:pPr>
        <w:spacing w:after="120"/>
        <w:jc w:val="both"/>
      </w:pPr>
      <w:r>
        <w:rPr>
          <w:b w:val="off"/>
          <w:sz w:val="22"/>
        </w:rPr>
        <w:t>La PRMP peut notifier une prolongation ou un report du délai d'exécution du Marché sans qu'un avenant au Marché soit nécessaire pour une période cumulé de {{B09-MD-01}}</w:t>
      </w:r>
    </w:p>
    <w:p>
      <w:pPr>
        <w:spacing w:after="120"/>
        <w:jc w:val="both"/>
      </w:pPr>
      <w:r>
        <w:rPr>
          <w:b w:val="off"/>
          <w:sz w:val="22"/>
        </w:rPr>
        <w:t>- Nombre de journées d'intempéries prévisibles (CCAG article19.2.2)</w:t>
      </w:r>
    </w:p>
    <w:p>
      <w:pPr>
        <w:spacing w:after="120"/>
        <w:jc w:val="both"/>
      </w:pPr>
      <w:r>
        <w:rPr>
          <w:b w:val="off"/>
          <w:sz w:val="22"/>
        </w:rPr>
        <w:t>Une prolongation des délais n'est justifiée qu'au delà de {{B09-MD-02}} jours d'intempéries empêchant la poursuite des travaux</w:t>
      </w:r>
    </w:p>
    <w:p>
      <w:pPr>
        <w:spacing w:after="160"/>
        <w:jc w:val="left"/>
      </w:pPr>
      <w:r>
        <w:rPr>
          <w:b w:val="on"/>
          <w:sz w:val="22"/>
        </w:rPr>
        <w:t>Article 23 - Pénalités et retenues (CCAG Article 20.6)</w:t>
      </w:r>
    </w:p>
    <w:p>
      <w:pPr>
        <w:spacing w:after="120"/>
        <w:jc w:val="both"/>
      </w:pPr>
      <w:r>
        <w:rPr>
          <w:b w:val="off"/>
          <w:sz w:val="22"/>
        </w:rPr>
        <w:t>{{SI:PENALITES-NON}}</w:t>
      </w:r>
    </w:p>
    <w:p>
      <w:pPr>
        <w:spacing w:after="120"/>
        <w:jc w:val="both"/>
      </w:pPr>
      <w:r>
        <w:rPr>
          <w:b w:val="off"/>
          <w:sz w:val="22"/>
        </w:rPr>
        <w:t>Les pénalités journalières prévues par l'article 20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{{B09-PE-02}} du montant du Marché ou de la tranche considérée dans la limite de &lt;pourcentage&gt; du montant global du Marché ou de la tranche considérée.</w:t>
      </w:r>
    </w:p>
    <w:p>
      <w:pPr>
        <w:spacing w:after="120"/>
        <w:jc w:val="both"/>
      </w:pPr>
      <w:r>
        <w:rPr>
          <w:b w:val="off"/>
          <w:sz w:val="22"/>
        </w:rPr>
        <w:t>{{FINSI:PENALITES-OUI}}</w:t>
      </w:r>
    </w:p>
    <w:p>
      <w:pPr>
        <w:spacing w:after="160"/>
        <w:jc w:val="left"/>
      </w:pPr>
      <w:r>
        <w:rPr>
          <w:b w:val="on"/>
          <w:sz w:val="22"/>
        </w:rPr>
        <w:t>Article 24 - Vérification qualitative des matériaux et produits (CCAG Article 24.3)</w:t>
      </w:r>
    </w:p>
    <w:p>
      <w:pPr>
        <w:spacing w:after="120"/>
        <w:jc w:val="both"/>
      </w:pPr>
      <w:r>
        <w:rPr>
          <w:b w:val="off"/>
          <w:sz w:val="22"/>
        </w:rPr>
        <w:t>{{B09-VQ-01}}</w:t>
      </w:r>
    </w:p>
    <w:p>
      <w:pPr>
        <w:spacing w:after="160"/>
        <w:jc w:val="left"/>
      </w:pPr>
      <w:r>
        <w:rPr>
          <w:b w:val="on"/>
          <w:sz w:val="22"/>
        </w:rPr>
        <w:t>Article 25- Prise en charge par l'Entrepreneur des matériaux et produits fournis par le Maître de l'Ouvrage (CCAG Article 26)</w:t>
      </w:r>
    </w:p>
    <w:p>
      <w:pPr>
        <w:spacing w:after="120"/>
        <w:jc w:val="both"/>
      </w:pPr>
      <w:r>
        <w:rPr>
          <w:b w:val="off"/>
          <w:sz w:val="22"/>
        </w:rPr>
        <w:t>{{B09-PM-01}}</w:t>
      </w:r>
    </w:p>
    <w:p>
      <w:pPr>
        <w:spacing w:after="160"/>
        <w:jc w:val="left"/>
      </w:pPr>
      <w:r>
        <w:rPr>
          <w:b w:val="on"/>
          <w:sz w:val="22"/>
        </w:rPr>
        <w:t>Article 26 - Préparation des travaux (CCAG Article 28)</w:t>
      </w:r>
    </w:p>
    <w:p>
      <w:pPr>
        <w:spacing w:after="120"/>
        <w:jc w:val="both"/>
      </w:pPr>
      <w:r>
        <w:rPr>
          <w:b w:val="off"/>
          <w:sz w:val="22"/>
        </w:rPr>
        <w:t>{{SI:PREPARATION-NON}}</w:t>
      </w:r>
    </w:p>
    <w:p>
      <w:pPr>
        <w:spacing w:after="120"/>
        <w:jc w:val="both"/>
      </w:pPr>
      <w:r>
        <w:rPr>
          <w:b w:val="off"/>
          <w:sz w:val="22"/>
        </w:rPr>
        <w:t>Il n'est pas prévu de période de préparation</w:t>
      </w:r>
    </w:p>
    <w:p>
      <w:pPr>
        <w:spacing w:after="120"/>
        <w:jc w:val="both"/>
      </w:pPr>
      <w:r>
        <w:rPr>
          <w:b w:val="off"/>
          <w:sz w:val="22"/>
        </w:rPr>
        <w:t>{{FINSI:PREPARATION-NON}}</w:t>
      </w:r>
    </w:p>
    <w:p>
      <w:pPr>
        <w:spacing w:after="120"/>
        <w:jc w:val="both"/>
      </w:pPr>
      <w:r>
        <w:rPr>
          <w:b w:val="off"/>
          <w:sz w:val="22"/>
        </w:rPr>
        <w:t>{{SI:PREPARATION-OUI}}</w:t>
      </w:r>
    </w:p>
    <w:p>
      <w:pPr>
        <w:spacing w:after="120"/>
        <w:jc w:val="both"/>
      </w:pPr>
      <w:r>
        <w:rPr>
          <w:b w:val="off"/>
          <w:sz w:val="22"/>
        </w:rPr>
        <w:t>26.1. Durée maximum de la période de préparation comprise dans le délai d'exécution du marché:</w:t>
      </w:r>
    </w:p>
    <w:p>
      <w:pPr>
        <w:spacing w:after="120"/>
        <w:jc w:val="both"/>
      </w:pPr>
      <w:r>
        <w:rPr>
          <w:b w:val="off"/>
          <w:sz w:val="22"/>
        </w:rPr>
        <w:t>{{B09-PT-02}} à compter du démarrage du délai d’exécution du marché.</w:t>
      </w:r>
    </w:p>
    <w:p>
      <w:pPr>
        <w:spacing w:after="120"/>
        <w:jc w:val="both"/>
      </w:pPr>
      <w:r>
        <w:rPr>
          <w:b w:val="off"/>
          <w:sz w:val="22"/>
        </w:rPr>
        <w:t>26.2. Délai de soumission du programme d'exécution:</w:t>
      </w:r>
    </w:p>
    <w:p>
      <w:pPr>
        <w:spacing w:after="120"/>
        <w:jc w:val="both"/>
      </w:pPr>
      <w:r>
        <w:rPr>
          <w:b w:val="off"/>
          <w:sz w:val="22"/>
        </w:rPr>
        <w:t>{{B09-PT-03}} jours avant l'expiration de la période de préparation.</w:t>
      </w:r>
    </w:p>
    <w:p>
      <w:pPr>
        <w:spacing w:after="120"/>
        <w:jc w:val="both"/>
      </w:pPr>
      <w:r>
        <w:rPr>
          <w:b w:val="off"/>
          <w:sz w:val="22"/>
        </w:rPr>
        <w:t>{{FINSI:PREPARATION-OUI}}</w:t>
      </w:r>
    </w:p>
    <w:p>
      <w:pPr>
        <w:spacing w:after="120"/>
        <w:jc w:val="both"/>
      </w:pPr>
      <w:r>
        <w:rPr>
          <w:b w:val="off"/>
          <w:sz w:val="22"/>
        </w:rPr>
        <w:t>{{SI:HYGIENE}}</w:t>
      </w:r>
    </w:p>
    <w:p>
      <w:pPr>
        <w:spacing w:after="120"/>
        <w:jc w:val="both"/>
      </w:pPr>
      <w:r>
        <w:rPr>
          <w:b w:val="off"/>
          <w:sz w:val="22"/>
        </w:rPr>
        <w:t>26.3. Un plan d'hygiène et de sécurité sur le chantier doit être remis :</w:t>
      </w:r>
    </w:p>
    <w:p>
      <w:pPr>
        <w:spacing w:after="120"/>
        <w:jc w:val="both"/>
      </w:pPr>
      <w:r>
        <w:rPr>
          <w:b w:val="off"/>
          <w:sz w:val="22"/>
        </w:rPr>
        <w:t>{{B09-PT-04}} jours avant l'expiration de la période de préparation.</w:t>
      </w:r>
    </w:p>
    <w:p>
      <w:pPr>
        <w:spacing w:after="120"/>
        <w:jc w:val="both"/>
      </w:pPr>
      <w:r>
        <w:rPr>
          <w:b w:val="off"/>
          <w:sz w:val="22"/>
        </w:rPr>
        <w:t>{{FINSI:HYGIENE}}</w:t>
      </w:r>
    </w:p>
    <w:p>
      <w:pPr>
        <w:spacing w:after="160"/>
        <w:jc w:val="left"/>
      </w:pPr>
      <w:r>
        <w:rPr>
          <w:b w:val="on"/>
          <w:sz w:val="22"/>
        </w:rPr>
        <w:t>Article 27 - Visa des documents d'exécution par le Maître d' oeuvre (CCAG Article 29.1.4)</w:t>
      </w:r>
    </w:p>
    <w:p>
      <w:pPr>
        <w:spacing w:after="120"/>
        <w:jc w:val="both"/>
      </w:pPr>
      <w:r>
        <w:rPr>
          <w:b w:val="off"/>
          <w:sz w:val="22"/>
        </w:rPr>
        <w:t>Le visa du Maître d'Oeuvre sur les documents nécessaires à cette exécution est donné dans un délai de {{B09-VX-01}}</w:t>
      </w:r>
    </w:p>
    <w:p>
      <w:pPr>
        <w:spacing w:after="160"/>
        <w:jc w:val="left"/>
      </w:pPr>
      <w:r>
        <w:rPr>
          <w:b w:val="on"/>
          <w:sz w:val="22"/>
        </w:rPr>
        <w:t>Article 28 - Réception provisoire (CCAG Article 41)</w:t>
      </w:r>
    </w:p>
    <w:p>
      <w:pPr>
        <w:spacing w:after="160"/>
        <w:jc w:val="left"/>
      </w:pPr>
      <w:r>
        <w:rPr>
          <w:b w:val="on"/>
          <w:sz w:val="22"/>
        </w:rPr>
        <w:t>28.1. Réception par tranches (CCAG Article 41.1.)</w:t>
      </w:r>
    </w:p>
    <w:p>
      <w:pPr>
        <w:spacing w:after="120"/>
        <w:jc w:val="both"/>
      </w:pPr>
      <w:r>
        <w:rPr>
          <w:b w:val="off"/>
          <w:sz w:val="22"/>
        </w:rPr>
        <w:t>{{SI:RECEPTION-TRANCHES}}</w:t>
      </w:r>
    </w:p>
    <w:p>
      <w:pPr>
        <w:spacing w:after="120"/>
        <w:jc w:val="both"/>
      </w:pPr>
      <w:r>
        <w:rPr>
          <w:b w:val="off"/>
          <w:sz w:val="22"/>
        </w:rPr>
        <w:t>Les tranches de travaux comportant des délai d'exécution distincts identifiées &lt;soit&gt; à l'article 1 du présent CCAP &lt;soit&gt; par les Spécifications Techniques, donneront lieu à des réceptions partielles. La réception de la dernière tranche tiendra lieu de réception provisoire de travaux au sens du présent Marché.</w:t>
      </w:r>
    </w:p>
    <w:p>
      <w:pPr>
        <w:spacing w:after="120"/>
        <w:jc w:val="both"/>
      </w:pPr>
      <w:r>
        <w:rPr>
          <w:b w:val="off"/>
          <w:sz w:val="22"/>
        </w:rPr>
        <w:t>{{FINSI:RECEPTION-TRANCHES}}</w:t>
      </w:r>
    </w:p>
    <w:p>
      <w:pPr>
        <w:spacing w:after="160"/>
        <w:jc w:val="left"/>
      </w:pPr>
      <w:r>
        <w:rPr>
          <w:b w:val="on"/>
          <w:sz w:val="22"/>
        </w:rPr>
        <w:t>28.2. Opérations préalables (CCAG Article 41.2.)</w:t>
      </w:r>
    </w:p>
    <w:p>
      <w:pPr>
        <w:spacing w:after="120"/>
        <w:jc w:val="both"/>
      </w:pPr>
      <w:r>
        <w:rPr>
          <w:b w:val="off"/>
          <w:sz w:val="22"/>
        </w:rPr>
        <w:t>a) Début des opérations préalables</w:t>
      </w:r>
    </w:p>
    <w:p>
      <w:pPr>
        <w:spacing w:after="120"/>
        <w:jc w:val="both"/>
      </w:pPr>
      <w:r>
        <w:rPr>
          <w:b w:val="off"/>
          <w:sz w:val="22"/>
        </w:rPr>
        <w:t>Par dérogation au CCAG, le délai du début des opérations préalables à la réception des ouvrages à compter de la réception de l'avis de l'Entrepreneur est de {{B09-RP-03}}.</w:t>
      </w:r>
    </w:p>
    <w:p>
      <w:pPr>
        <w:spacing w:after="120"/>
        <w:jc w:val="both"/>
      </w:pPr>
      <w:r>
        <w:rPr>
          <w:b w:val="off"/>
          <w:sz w:val="22"/>
        </w:rPr>
        <w:t>b) Modalités de réception des travaux</w:t>
      </w:r>
    </w:p>
    <w:p>
      <w:pPr>
        <w:spacing w:after="120"/>
        <w:jc w:val="both"/>
      </w:pPr>
      <w:r>
        <w:rPr>
          <w:b w:val="off"/>
          <w:sz w:val="22"/>
        </w:rPr>
        <w:t>Les modalités de réception des travaux sont décrites en annexe &lt;n°&gt; aux Spécifications Techniques :</w:t>
      </w:r>
    </w:p>
    <w:p>
      <w:pPr>
        <w:spacing w:after="120"/>
        <w:jc w:val="both"/>
      </w:pPr>
      <w:r>
        <w:rPr>
          <w:b w:val="off"/>
          <w:sz w:val="22"/>
        </w:rPr>
        <w:t>{{B09-RP-04}}</w:t>
      </w:r>
    </w:p>
    <w:p>
      <w:pPr>
        <w:spacing w:after="120"/>
        <w:jc w:val="both"/>
      </w:pPr>
      <w:r>
        <w:rPr>
          <w:b w:val="off"/>
          <w:sz w:val="22"/>
        </w:rPr>
        <w:t>La constatation du repliement des installations de chantier et de la remise en état des lieux n'est pas comprise dans les opérations de réception.</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29 - Délai de garantie (CCAG Article 44.1)</w:t>
      </w:r>
    </w:p>
    <w:p>
      <w:pPr>
        <w:spacing w:after="120"/>
        <w:jc w:val="both"/>
      </w:pPr>
      <w:r>
        <w:rPr>
          <w:b w:val="off"/>
          <w:sz w:val="22"/>
        </w:rPr>
        <w:t>Par dérogation aux dispositions de l’Article 44.1 du CCAG, le délai de garantie est fixé à :</w:t>
      </w:r>
    </w:p>
    <w:p>
      <w:pPr>
        <w:spacing w:after="120"/>
        <w:jc w:val="both"/>
      </w:pPr>
      <w:r>
        <w:rPr>
          <w:b w:val="off"/>
          <w:sz w:val="22"/>
        </w:rPr>
        <w:t>{{B09-GT-01}} mois</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30 – Résiliation du marché aux torts de l’Entrepreneurs</w:t>
      </w:r>
    </w:p>
    <w:p>
      <w:pPr>
        <w:spacing w:after="120"/>
        <w:jc w:val="both"/>
      </w:pPr>
      <w:r>
        <w:rPr>
          <w:b w:val="off"/>
          <w:sz w:val="22"/>
        </w:rPr>
        <w:t>1.- Le marché peut-être résilié unilatéralement par le maître de l’ouvrage aux torts de l’entrepreneur, sans mise en demeure préalable, dans les cas suivants :</w:t>
      </w:r>
    </w:p>
    <w:p>
      <w:pPr>
        <w:spacing w:after="120"/>
        <w:jc w:val="both"/>
      </w:pPr>
      <w:r>
        <w:rPr>
          <w:b w:val="off"/>
          <w:sz w:val="22"/>
        </w:rPr>
        <w:t>a. Lorsque l’entrepreneur déclare ne pas pouvoir tenir ses engagements ou lorsqu’il ne s’en est pas acquitté dans les délais contractuels, à moins qu’il ne puisse invoquer le cas de force majeur, le fait du maître de l’ouvrage ou des sujétions imprévus ;</w:t>
      </w:r>
    </w:p>
    <w:p>
      <w:pPr>
        <w:spacing w:after="120"/>
        <w:jc w:val="both"/>
      </w:pPr>
      <w:r>
        <w:rPr>
          <w:b w:val="off"/>
          <w:sz w:val="22"/>
        </w:rPr>
        <w:t>b .Lorsqu’il est établi que l’entrepreneur a fourni de faux renseignements sur ses qualités et aptitude dans la mesures ou celles-ci ont constitués des éléments essentiels pour la passation du marché ;</w:t>
      </w:r>
    </w:p>
    <w:p>
      <w:pPr>
        <w:spacing w:after="120"/>
        <w:jc w:val="both"/>
      </w:pPr>
      <w:r>
        <w:rPr>
          <w:b w:val="off"/>
          <w:sz w:val="22"/>
        </w:rPr>
        <w:t>c. Lorsque, sans autorisation expresse du maître de l’ouvrage, l’entrepreneur a confié à des sous-traitant l’exécution de tout ou partie des prestations faisant l’objet du marché, en a fait apport à une société, ou à constitué un groupement pour en assurer l’exécution.</w:t>
      </w:r>
    </w:p>
    <w:p>
      <w:pPr>
        <w:spacing w:after="120"/>
        <w:jc w:val="both"/>
      </w:pPr>
      <w:r>
        <w:rPr>
          <w:b w:val="off"/>
          <w:sz w:val="22"/>
        </w:rPr>
        <w:t>d. Lorsqu’ les opérations de vérification ont permis de constater des malfaçons dans une proportion supérieure au quart des prestations exécutées ;</w:t>
      </w:r>
    </w:p>
    <w:p>
      <w:pPr>
        <w:spacing w:after="120"/>
        <w:jc w:val="both"/>
      </w:pPr>
      <w:r>
        <w:rPr>
          <w:b w:val="off"/>
          <w:sz w:val="22"/>
        </w:rPr>
        <w:t>e. Lorsque l’entrepreneur s’est livré, à l’occasion de son marché, a des actes frauduleux portant sur la nature, la qualité ou la quantité des prestations.</w:t>
      </w:r>
    </w:p>
    <w:p>
      <w:pPr>
        <w:spacing w:after="120"/>
        <w:jc w:val="both"/>
      </w:pPr>
      <w:r>
        <w:rPr>
          <w:b w:val="off"/>
          <w:sz w:val="22"/>
        </w:rPr>
        <w:t>2.- Le marché peut être résilié unilatéralement par le maître de l’ouvrage après mise en demeure restée sans effets dans le délai imparti, dans les cas suivants :</w:t>
      </w:r>
    </w:p>
    <w:p>
      <w:pPr>
        <w:spacing w:after="120"/>
        <w:jc w:val="both"/>
      </w:pPr>
      <w:r>
        <w:rPr>
          <w:b w:val="off"/>
          <w:sz w:val="22"/>
        </w:rPr>
        <w:t>a. Lorsque l’entrepreneur contrevient de manière flagrante à la législation ou la réglementation du travail et, notamment, aux prescriptions des articles 130, 136,137 et 138 de l’Ordonnance</w:t>
      </w:r>
    </w:p>
    <w:p>
      <w:pPr>
        <w:spacing w:after="120"/>
        <w:jc w:val="both"/>
      </w:pPr>
      <w:r>
        <w:rPr>
          <w:b w:val="off"/>
          <w:sz w:val="22"/>
        </w:rPr>
        <w:t>n° 60-119 du 1er Octobre 1960 portant Code de Travail</w:t>
      </w:r>
    </w:p>
    <w:p>
      <w:pPr>
        <w:spacing w:after="120"/>
        <w:jc w:val="both"/>
      </w:pPr>
      <w:r>
        <w:rPr>
          <w:b w:val="off"/>
          <w:sz w:val="22"/>
        </w:rPr>
        <w:t>b. Lorsqu’il fait un mauvais emploi ou une utilisation abusive du matériel ou des approvisionnement mis à sa disposition par le maître de l’ouvrage ;</w:t>
      </w:r>
    </w:p>
    <w:p>
      <w:pPr>
        <w:spacing w:after="120"/>
        <w:jc w:val="both"/>
      </w:pPr>
      <w:r>
        <w:rPr>
          <w:b w:val="off"/>
          <w:sz w:val="22"/>
        </w:rPr>
        <w:t>c. Lorsqu’il ne prend pas les mesures qui lui incombent pour faire cesser le trouble éventuellement subi par le maître de l’ouvrage du fait de cesser la trouble éventuellement subi par le maître de l’ouvrage du fait de revendications formulées par des tiers au sujet de l’exécution du contrat ;</w:t>
      </w:r>
    </w:p>
    <w:p>
      <w:pPr>
        <w:spacing w:after="120"/>
        <w:jc w:val="both"/>
      </w:pPr>
      <w:r>
        <w:rPr>
          <w:b w:val="off"/>
          <w:sz w:val="22"/>
        </w:rPr>
        <w:t>d. Lorsqu’il entrave le libre exercice de la surveillance ou du contrôle par les agents du maître de l’ouvrage ;</w:t>
      </w:r>
    </w:p>
    <w:p>
      <w:pPr>
        <w:spacing w:after="120"/>
        <w:jc w:val="both"/>
      </w:pPr>
      <w:r>
        <w:rPr>
          <w:b w:val="off"/>
          <w:sz w:val="22"/>
        </w:rPr>
        <w:t>e. Lorsqu’il a pris un tel retard dans l’exécution du marché que le respect des délais contractuels devient manifestement impossible sans un effort particulier.</w:t>
      </w:r>
    </w:p>
    <w:p>
      <w:pPr>
        <w:spacing w:after="120"/>
        <w:jc w:val="both"/>
      </w:pPr>
      <w:r>
        <w:rPr>
          <w:b w:val="off"/>
          <w:sz w:val="22"/>
        </w:rPr>
        <w:t>f. D’une façon générale, toutes les fois que le titulaire ne se conforme soit aux dispositions du marché, soit aux ordre de service écrits qui lui sont donnés par le maître de l’ouvrage ;</w:t>
      </w:r>
    </w:p>
    <w:p>
      <w:pPr>
        <w:spacing w:after="120"/>
        <w:jc w:val="both"/>
      </w:pPr>
      <w:r>
        <w:rPr>
          <w:b w:val="off"/>
          <w:sz w:val="22"/>
        </w:rPr>
        <w:t>3.- La résiliation aux torts de l’entrepreneur ne fait pas l’obstacle à la mise en œuvre des actions civiles ou pénales qui pourraient lui être intentées en raison de ses fautes, non plus qu’à son exclusion temporaire des marchés publics par application des dispositions de l’Article 54 alinéa 6 de la Loi n° 2004-009 du 26 juillet 2004 portant Code des Marchés Publics</w:t>
      </w:r>
    </w:p>
    <w:p>
      <w:pPr>
        <w:spacing w:after="160"/>
        <w:jc w:val="left"/>
      </w:pPr>
      <w:r>
        <w:rPr>
          <w:b w:val="on"/>
          <w:sz w:val="22"/>
        </w:rPr>
        <w:t>Article 31 - Procédure contentieuse (CCAG Article 50.3)</w:t>
      </w:r>
    </w:p>
    <w:p>
      <w:pPr>
        <w:spacing w:after="120"/>
        <w:jc w:val="both"/>
      </w:pPr>
      <w:r>
        <w:rPr>
          <w:b w:val="off"/>
          <w:sz w:val="22"/>
        </w:rPr>
        <w:t>{{B10-PC-01}}</w:t>
      </w:r>
    </w:p>
    <w:p>
      <w:pPr>
        <w:spacing w:after="160"/>
        <w:jc w:val="left"/>
      </w:pPr>
      <w:r>
        <w:rPr>
          <w:b w:val="on"/>
          <w:sz w:val="22"/>
        </w:rPr>
        <w:t>Article 32 -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{{SI:DEROGATIONS}}</w:t>
      </w:r>
    </w:p>
    <w:p>
      <w:pPr>
        <w:spacing w:after="120"/>
        <w:jc w:val="both"/>
      </w:pPr>
      <w:r>
        <w:rPr>
          <w:b w:val="off"/>
          <w:sz w:val="22"/>
        </w:rPr>
        <w:t>{{B10-DR-01}}</w:t>
      </w:r>
    </w:p>
    <w:p>
      <w:pPr>
        <w:spacing w:after="120"/>
        <w:jc w:val="both"/>
      </w:pPr>
      <w:r>
        <w:rPr>
          <w:b w:val="off"/>
          <w:sz w:val="22"/>
        </w:rPr>
        <w:t>{{FINSI:DEROGATIONS}}</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à l'Entrepreneur,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REV = X + (a) T/To + (b) S/So + (c) F/Fo + ...</w:t>
      </w:r>
    </w:p>
    <w:p>
      <w:pPr>
        <w:spacing w:after="120"/>
        <w:jc w:val="both"/>
      </w:pPr>
      <w:r>
        <w:rPr>
          <w:b w:val="off"/>
          <w:sz w:val="22"/>
        </w:rPr>
        <w:t>dans laquelle :</w:t>
      </w:r>
    </w:p>
    <w:p>
      <w:pPr>
        <w:spacing w:after="120"/>
        <w:jc w:val="both"/>
      </w:pPr>
      <w:r>
        <w:rPr>
          <w:b w:val="off"/>
          <w:sz w:val="22"/>
        </w:rPr>
        <w:t>REV est le coefficient de révision qui s’appliquera à chaque paiement conformément aux modalités d’application et de révision détaillées respectivement aux alinéas (b) et (c) du présent paragraphe. Lors de chaque paiement, le montant à payer dans une monnaie donnée fera l’objet d’une révision par la multiplication du coefficient REV correspondant.</w:t>
      </w:r>
    </w:p>
    <w:p>
      <w:pPr>
        <w:spacing w:after="120"/>
        <w:jc w:val="both"/>
      </w:pPr>
      <w:r>
        <w:rPr>
          <w:b w:val="off"/>
          <w:sz w:val="22"/>
        </w:rPr>
        <w:t>X constitue la partie fixe non révisable des paiements et (a), (b), (c), etc. représentent les paramètres de pondération des facteurs sujets à révision sur la base des valeurs des indices, T, S, F, etc.</w:t>
      </w:r>
    </w:p>
    <w:p>
      <w:pPr>
        <w:spacing w:after="120"/>
        <w:jc w:val="both"/>
      </w:pPr>
      <w:r>
        <w:rPr>
          <w:b w:val="off"/>
          <w:sz w:val="22"/>
        </w:rPr>
        <w:t>Les valeurs respectives des paramètres X, a, b, c, etc. sont fixées par le Candidat dans l’annexe à l'Acte d'Engagement dans les limites spécifiées par le Maître de l'ouvrage dans le tableau ci-après, étant précisé que X + a + b + c + etc = 1.</w:t>
      </w:r>
    </w:p>
    <w:p>
      <w:pPr>
        <w:spacing w:after="120"/>
        <w:jc w:val="both"/>
      </w:pPr>
      <w:r>
        <w:rPr>
          <w:b w:val="off"/>
          <w:sz w:val="22"/>
        </w:rPr>
        <w:t>T, S, F, etc., et To, So, Fo, etc. représentent la valeur des indices correspondants aux facteurs inclus dans la formule. La définition et l’origine de ces indices sont spécifiés dans le tableau ci-après. Les valeurs de T, S, F, etc. seront celles en vigueur au cours du mois où interviendra le fait générateur de paiement, et les valeurs To, So, Fo, etc. sont celles en vigueur au cours du mois de la date d'établissement des prix, à savoir quinze jours avant la date limite fixée pour la remise des offres.</w:t>
      </w:r>
    </w:p>
    <w:p>
      <w:pPr>
        <w:spacing w:after="120"/>
        <w:jc w:val="both"/>
      </w:pPr>
      <w:r>
        <w:rPr>
          <w:b w:val="off"/>
          <w:sz w:val="22"/>
        </w:rPr>
        <w:t>(b) en cas de pluralité de monnaie de paiement, il y aura une formule pour chaque monnaie, étant précisé que les indices T, S, F, etc., et To, So, Fo, etc., doivent correspondre aux indices du pays d’origine des dépenses correspondantes à chacune des monnaies, donnés en Annexe à l'Acte d'Engagement.</w:t>
      </w:r>
    </w:p>
    <w:p>
      <w:pPr>
        <w:spacing w:after="120"/>
        <w:jc w:val="both"/>
      </w:pPr>
      <w:r>
        <w:rPr>
          <w:b w:val="off"/>
          <w:sz w:val="22"/>
        </w:rPr>
        <w:t>Dans le cas où les indices et les monnaies spécifiées pour le paiement de la part en monnaie étrangère ont des pays d’origine différent, un coefficient correcteur sera spécifié au CCAP pour corriger les distorsions introduites de ce fait.</w:t>
      </w:r>
    </w:p>
    <w:p>
      <w:pPr>
        <w:spacing w:after="120"/>
        <w:jc w:val="both"/>
      </w:pPr>
      <w:r>
        <w:rPr>
          <w:b w:val="off"/>
          <w:sz w:val="22"/>
        </w:rPr>
        <w:t>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pPr>
        <w:spacing w:after="120"/>
        <w:jc w:val="both"/>
      </w:pPr>
      <w:r>
        <w:rPr>
          <w:b w:val="off"/>
          <w:sz w:val="22"/>
        </w:rPr>
        <w:t>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pPr>
        <w:spacing w:after="120"/>
        <w:jc w:val="both"/>
      </w:pPr>
      <w:r>
        <w:rPr>
          <w:b w:val="off"/>
          <w:sz w:val="22"/>
        </w:rPr>
        <w:t>Facteurs utilisés pour les formules de révision des prix</w:t>
      </w:r>
    </w:p>
    <w:p>
      <w:pPr>
        <w:spacing w:after="120"/>
        <w:jc w:val="both"/>
      </w:pPr>
      <w:r>
        <w:rPr>
          <w:b w:val="off"/>
          <w:sz w:val="22"/>
        </w:rPr>
        <w:t>Section(s) des Travaux : &lt;L’indication de sections différentes et l'utilisation de tableaux distincts peut être nécessaire si des sections des Travaux (ou du Détail quantitatif et estimatif) ont un contenu en monnaies étrangères et nationale notablement différent.&gt;</w:t>
      </w:r>
    </w:p>
    <w:p>
      <w:pPr>
        <w:spacing w:after="120"/>
        <w:jc w:val="both"/>
      </w:pPr>
      <w:r>
        <w:rPr>
          <w:b w:val="off"/>
          <w:sz w:val="22"/>
        </w:rPr>
        <w:t>Tableau des paramètres de pondération</w:t>
      </w:r>
    </w:p>
    <w:tbl>
      <w:tblPr>
        <w:tblW w:w="5000" w:type="pct"/>
        <w:tblBorders>
          <w:top w:val="single"/>
          <w:left w:val="single"/>
          <w:bottom w:val="single"/>
          <w:right w:val="single"/>
          <w:insideH w:val="single"/>
          <w:insideV w:val="single"/>
        </w:tblBorders>
      </w:tblPr>
      <w:tr>
        <w:tc>
          <w:tcPr>
            <w:tcW w:type="pct" w:w="1250"/>
          </w:tcPr>
          <w:p>
            <w:r>
              <w:rPr>
                <w:sz w:val="20"/>
              </w:rPr>
              <w:t>Facteur et description</w:t>
            </w:r>
          </w:p>
        </w:tc>
        <w:tc>
          <w:tcPr>
            <w:tcW w:type="pct" w:w="1250"/>
          </w:tcPr>
          <w:p>
            <w:r>
              <w:rPr>
                <w:sz w:val="20"/>
              </w:rPr>
              <w:t>Valeur des fourchettes autorisées pour les paramètres</w:t>
            </w:r>
          </w:p>
        </w:tc>
        <w:tc>
          <w:tcPr>
            <w:tcW w:type="pct" w:w="1250"/>
          </w:tcPr>
          <w:p>
            <w:r>
              <w:rPr>
                <w:sz w:val="20"/>
              </w:rPr>
              <w:t>Valeur des paramètres de pondération par type de monnaie</w:t>
            </w:r>
          </w:p>
          <w:p>
            <w:r>
              <w:rPr>
                <w:sz w:val="20"/>
              </w:rPr>
              <w:t>(3)</w:t>
            </w:r>
          </w:p>
        </w:tc>
        <w:tc>
          <w:tcPr>
            <w:tcW w:type="pct" w:w="1250"/>
          </w:tcPr>
          <w:p>
            <w:r>
              <w:rPr>
                <w:sz w:val="20"/>
              </w:rPr>
              <w:t>Totaux</w:t>
            </w:r>
          </w:p>
          <w:p>
            <w:r>
              <w:rPr>
                <w:sz w:val="20"/>
              </w:rPr>
              <w:t>(4)</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(Ariary)</w:t>
            </w:r>
          </w:p>
        </w:tc>
        <w:tc>
          <w:tcPr>
            <w:tcW w:type="pct" w:w="833"/>
          </w:tcPr>
          <w:p>
            <w:r>
              <w:rPr>
                <w:sz w:val="20"/>
              </w:rPr>
              <w:t>(monnaie étrangère)</w:t>
            </w:r>
          </w:p>
        </w:tc>
        <w:tc>
          <w:tcPr>
            <w:tcW w:type="pct" w:w="833"/>
          </w:tcPr>
          <w:p>
            <w:r>
              <w:rPr>
                <w:sz w:val="20"/>
              </w:rPr>
              <w:t/>
            </w:r>
          </w:p>
        </w:tc>
        <w:tc>
          <w:tcPr>
            <w:tcW w:type="pct" w:w="833"/>
          </w:tcPr>
          <w:p>
            <w:r>
              <w:rPr>
                <w:sz w:val="20"/>
              </w:rPr>
              <w:t/>
            </w:r>
          </w:p>
        </w:tc>
      </w:tr>
      <w:tr>
        <w:tc>
          <w:tcPr>
            <w:tcW w:type="pct" w:w="833"/>
          </w:tcPr>
          <w:p>
            <w:r>
              <w:rPr>
                <w:sz w:val="20"/>
              </w:rPr>
              <w:t>X Fixe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(a) Main-d’oeuvre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(b)</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etc.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Total</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1</w:t>
            </w:r>
          </w:p>
        </w:tc>
      </w:tr>
    </w:tbl>
    <w:p/>
    <w:p>
      <w:pPr>
        <w:spacing w:after="120"/>
        <w:jc w:val="both"/>
      </w:pPr>
      <w:r>
        <w:rPr>
          <w:b w:val="off"/>
          <w:sz w:val="22"/>
        </w:rPr>
        <w:t>&lt;Le Maître de l’Ouvrage indiquera:</w:t>
      </w:r>
    </w:p>
    <w:p>
      <w:pPr>
        <w:spacing w:after="120"/>
        <w:jc w:val="both"/>
      </w:pPr>
      <w:r>
        <w:rPr>
          <w:b w:val="off"/>
          <w:sz w:val="22"/>
        </w:rPr>
        <w:t>dans la colonne (1) les paramètres de pondération des facteurs sujets à révision;</w:t>
      </w:r>
    </w:p>
    <w:p>
      <w:pPr>
        <w:spacing w:after="120"/>
        <w:jc w:val="both"/>
      </w:pPr>
      <w:r>
        <w:rPr>
          <w:b w:val="off"/>
          <w:sz w:val="22"/>
        </w:rPr>
        <w:t>dans la colonne (2) à la première ligne un seul chiffre correspondant à la partie fixe X de la formule de révision qui doit être au moins égale à 0,15 et, sur les lignes suivantes, des chiffres reflétant la fourchette acceptable pour chacun des paramètres (a), (b), (c), etc. des facteurs révisables de la formule.&gt;</w:t>
      </w:r>
    </w:p>
    <w:p>
      <w:pPr>
        <w:spacing w:after="120"/>
        <w:jc w:val="both"/>
      </w:pPr>
      <w:r>
        <w:rPr>
          <w:b w:val="off"/>
          <w:sz w:val="22"/>
        </w:rPr>
        <w:t>Le Candidat indiquera dans les colonnes (3) les valeurs des paramètres de chaque facteur au titre de la monnaie ou des monnaies de son offre, et dans la colonne (4) les sous-totaux correspondants pour chaque facteur et qui doivent s’inscrire dans la fourchette spécifiée par le Maître de l’Ouvrage dans la colonne (2); le total des sous-totaux inscrits dans la colonne (4) doit être égal à 1. Le tableau compété sera joint à l'Acte d'Engagement.</w:t>
      </w:r>
    </w:p>
    <w:p>
      <w:pPr>
        <w:spacing w:after="120"/>
        <w:jc w:val="both"/>
      </w:pPr>
      <w:r>
        <w:rPr>
          <w:b w:val="off"/>
          <w:sz w:val="22"/>
        </w:rPr>
        <w:t>Une formule sera appliquée pour chaque monnaie de paiement et sera déduite du tableau ci-dessus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pPr>
        <w:spacing w:after="120"/>
        <w:jc w:val="both"/>
      </w:pPr>
      <w:r>
        <w:rPr>
          <w:b w:val="off"/>
          <w:sz w:val="22"/>
        </w:rPr>
        <w:t>Origine des indices</w:t>
      </w:r>
    </w:p>
    <w:p>
      <w:pPr>
        <w:spacing w:after="120"/>
        <w:jc w:val="both"/>
      </w:pPr>
      <w:r>
        <w:rPr>
          <w:b w:val="off"/>
          <w:sz w:val="22"/>
        </w:rPr>
        <w:t>Prix en Ariary</w:t>
      </w:r>
    </w:p>
    <w:p>
      <w:pPr>
        <w:spacing w:after="120"/>
        <w:jc w:val="both"/>
      </w:pPr>
      <w:r>
        <w:rPr>
          <w:b w:val="off"/>
          <w:sz w:val="22"/>
        </w:rPr>
        <w:t>&lt;Le Maître de l’Ouvrage complétera le tableau qui suit au moment de la préparation du Dossier d’Appel d’offres.&gt;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 mois de</w:t>
            </w:r>
          </w:p>
          <w:p>
            <w:r>
              <w:rPr>
                <w:sz w:val="20"/>
              </w:rPr>
              <w:t>&lt;mois&gt;([note:2])</w:t>
            </w:r>
          </w:p>
        </w:tc>
      </w:tr>
    </w:tbl>
    <w:p/>
    <w:p>
      <w:pPr>
        <w:spacing w:after="120"/>
        <w:jc w:val="both"/>
      </w:pPr>
      <w:r>
        <w:rPr>
          <w:b w:val="off"/>
          <w:sz w:val="22"/>
        </w:rPr>
        <w:t>[note 2] Inscrire le mois applicable, c’est-à-dire le mois de la date d'établissement des prix, soit le quinzième jour précédant la date fixée pour le dépôt des offres.</w:t>
      </w:r>
    </w:p>
    <w:tbl>
      <w:tblPr>
        <w:tblW w:w="5000" w:type="pct"/>
        <w:tblBorders>
          <w:top w:val="single"/>
          <w:left w:val="single"/>
          <w:bottom w:val="single"/>
          <w:right w:val="single"/>
          <w:insideH w:val="single"/>
          <w:insideV w:val="single"/>
        </w:tblBorders>
      </w:tblP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Monnaie(s) étrangère(s)</w:t>
      </w:r>
    </w:p>
    <w:p>
      <w:pPr>
        <w:spacing w:after="120"/>
        <w:jc w:val="both"/>
      </w:pPr>
      <w:r>
        <w:rPr>
          <w:b w:val="off"/>
          <w:sz w:val="22"/>
        </w:rPr>
        <w:t>Le Candidat complétera, le cas échéant, le tableau suivant pour chaque monnaie étrangère de paiement.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w:t>
            </w:r>
          </w:p>
          <w:p>
            <w:r>
              <w:rPr>
                <w:sz w:val="20"/>
              </w:rPr>
              <w:t>[mois](1)</w:t>
            </w:r>
          </w:p>
        </w:tc>
      </w:t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{{FINSI:REVISABLE}}</w:t>
      </w:r>
    </w:p>
    <w:p>
      <w:pPr>
        <w:spacing w:after="120"/>
        <w:jc w:val="both"/>
      </w:pPr>
      <w:r>
        <w:rPr>
          <w:b w:val="off"/>
          <w:sz w:val="22"/>
        </w:rPr>
        <w:t>{{SI:ANNEXE-GBE-BANCAIRE}}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ATTENDU QUE En vertu des dispositions du Marché, le Titulaire doit remettre au Bénéficiaire une garantie bancaire de bonne exécution.</w:t>
      </w:r>
    </w:p>
    <w:p>
      <w:pPr>
        <w:spacing w:after="120"/>
        <w:jc w:val="both"/>
      </w:pPr>
      <w:r>
        <w:rPr>
          <w:b w:val="off"/>
          <w:sz w:val="22"/>
        </w:rPr>
        <w:t>ATTENDU QUE nous avons convenu de fournir au Titulaire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Titulaire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{{FINSI:ANNEXE-GBE-BANCAIRE}}</w:t>
      </w:r>
    </w:p>
    <w:p>
      <w:pPr>
        <w:spacing w:after="120"/>
        <w:jc w:val="both"/>
      </w:pPr>
      <w:r>
        <w:rPr>
          <w:b w:val="off"/>
          <w:sz w:val="22"/>
        </w:rPr>
        <w:t>{{SI:ANNEXE-GBE-CAUTION}}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titre du marché du fait de la non exécution de ses obligations contractuelles.</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{{FINSI:ANNEXE-GBE-CAUTION}}</w:t>
      </w:r>
    </w:p>
    <w:p>
      <w:pPr>
        <w:spacing w:after="120"/>
        <w:jc w:val="both"/>
      </w:pPr>
      <w:r>
        <w:rPr>
          <w:b w:val="off"/>
          <w:sz w:val="22"/>
        </w:rPr>
        <w:t>{{SI:ANNEXE-AVANCE}}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{{FINSI:ANNEXE-AVANCE}}</w:t>
      </w:r>
    </w:p>
    <w:p>
      <w:pPr>
        <w:spacing w:after="160"/>
        <w:jc w:val="left"/>
      </w:pPr>
      <w:r>
        <w:rPr>
          <w:b w:val="on"/>
          <w:sz w:val="22"/>
        </w:rPr>
        <w:t>Annexe au CCAP</w:t>
      </w:r>
    </w:p>
    <w:p>
      <w:pPr>
        <w:spacing w:after="120"/>
        <w:jc w:val="both"/>
      </w:pPr>
      <w:r>
        <w:rPr>
          <w:b w:val="off"/>
          <w:sz w:val="22"/>
        </w:rPr>
        <w:t>Cadre de bordereau des prix et</w:t>
      </w:r>
    </w:p>
    <w:p>
      <w:pPr>
        <w:spacing w:after="120"/>
        <w:jc w:val="both"/>
      </w:pPr>
      <w:r>
        <w:rPr>
          <w:b w:val="off"/>
          <w:sz w:val="22"/>
        </w:rPr>
        <w:t>Détail quantitatif et estimatif*</w:t>
      </w:r>
    </w:p>
    <w:p>
      <w:pPr>
        <w:spacing w:after="120"/>
        <w:jc w:val="both"/>
      </w:pPr>
      <w:r>
        <w:rPr>
          <w:b w:val="off"/>
          <w:sz w:val="22"/>
        </w:rPr>
        <w:t>BORDEREAU DES PRIX</w:t>
      </w:r>
    </w:p>
    <w:tbl>
      <w:tblPr>
        <w:tblW w:w="5000" w:type="pct"/>
        <w:tblBorders>
          <w:top w:val="single"/>
          <w:left w:val="single"/>
          <w:bottom w:val="single"/>
          <w:right w:val="single"/>
          <w:insideH w:val="single"/>
          <w:insideV w:val="single"/>
        </w:tblBorders>
      </w:tblPr>
      <w:tr>
        <w:tc>
          <w:tcPr>
            <w:tcW w:type="pct" w:w="1666"/>
          </w:tcPr>
          <w:p>
            <w:r>
              <w:rPr>
                <w:sz w:val="20"/>
              </w:rPr>
              <w:t>No</w:t>
            </w:r>
          </w:p>
        </w:tc>
        <w:tc>
          <w:tcPr>
            <w:tcW w:type="pct" w:w="1666"/>
          </w:tcPr>
          <w:p>
            <w:r>
              <w:rPr>
                <w:sz w:val="20"/>
              </w:rPr>
              <w:t>Désignation des tâches</w:t>
            </w:r>
          </w:p>
          <w:p>
            <w:r>
              <w:rPr>
                <w:sz w:val="20"/>
              </w:rPr>
              <w:t>et prix unitaires en toutes lettres</w:t>
            </w:r>
          </w:p>
        </w:tc>
        <w:tc>
          <w:tcPr>
            <w:tcW w:type="pct" w:w="1666"/>
          </w:tcPr>
          <w:p>
            <w:r>
              <w:rPr>
                <w:sz w:val="20"/>
              </w:rPr>
              <w:t>Prix unitaires</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
            </w:r>
          </w:p>
        </w:tc>
        <w:tc>
          <w:tcPr>
            <w:tcW w:type="pct" w:w="1250"/>
          </w:tcPr>
          <w:p>
            <w:r>
              <w:rPr>
                <w:sz w:val="20"/>
              </w:rPr>
              <w:t>Ariary</w:t>
            </w:r>
          </w:p>
        </w:tc>
        <w:tc>
          <w:tcPr>
            <w:tcW w:type="pct" w:w="1250"/>
          </w:tcPr>
          <w:p>
            <w:r>
              <w:rPr>
                <w:sz w:val="20"/>
              </w:rPr>
              <w:t>Autre(s) monnaie(s)</w:t>
            </w:r>
          </w:p>
          <w:p>
            <w:r>
              <w:rPr>
                <w:sz w:val="20"/>
              </w:rPr>
              <w:t>(1)</w:t>
            </w:r>
          </w:p>
        </w:tc>
      </w:tr>
      <w:tr>
        <w:tc>
          <w:tcPr>
            <w:tcW w:type="pct" w:w="1250"/>
          </w:tcPr>
          <w:p>
            <w:r>
              <w:rPr>
                <w:sz w:val="20"/>
              </w:rPr>
              <w:t/>
            </w:r>
          </w:p>
        </w:tc>
        <w:tc>
          <w:tcPr>
            <w:tcW w:type="pct" w:w="1250"/>
          </w:tcPr>
          <w:p>
            <w:r>
              <w:rPr>
                <w:sz w:val="20"/>
              </w:rPr>
              <w:t>Poste &lt;numéro&gt;- &lt;intitulé&gt;</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
            </w:r>
          </w:p>
        </w:tc>
        <w:tc>
          <w:tcPr>
            <w:tcW w:type="pct" w:w="1250"/>
          </w:tcPr>
          <w:p>
            <w:r>
              <w:rPr>
                <w:sz w:val="20"/>
              </w:rPr>
              <w:t>...................</w:t>
            </w:r>
          </w:p>
        </w:tc>
        <w:tc>
          <w:tcPr>
            <w:tcW w:type="pct" w:w="1250"/>
          </w:tcPr>
          <w:p>
            <w:r>
              <w:rPr>
                <w:sz w:val="20"/>
              </w:rPr>
              <w:t>..................</w:t>
            </w:r>
          </w:p>
        </w:tc>
      </w:tr>
    </w:tbl>
    <w:p/>
    <w:p>
      <w:pPr>
        <w:spacing w:after="120"/>
        <w:jc w:val="both"/>
      </w:pPr>
      <w:r>
        <w:rPr>
          <w:b w:val="off"/>
          <w:sz w:val="22"/>
        </w:rPr>
        <w:t>DETAIL QUANTITATIF ET ESTIMATIF</w:t>
      </w:r>
    </w:p>
    <w:tbl>
      <w:tblPr>
        <w:tblW w:w="5000" w:type="pct"/>
        <w:tblBorders>
          <w:top w:val="single"/>
          <w:left w:val="single"/>
          <w:bottom w:val="single"/>
          <w:right w:val="single"/>
          <w:insideH w:val="single"/>
          <w:insideV w:val="single"/>
        </w:tblBorders>
      </w:tblPr>
      <w:tr>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Prix unitaires</w:t>
            </w:r>
          </w:p>
        </w:tc>
        <w:tc>
          <w:tcPr>
            <w:tcW w:type="pct" w:w="833"/>
          </w:tcPr>
          <w:p>
            <w:r>
              <w:rPr>
                <w:sz w:val="20"/>
              </w:rPr>
              <w:t>Prix total</w:t>
            </w:r>
          </w:p>
        </w:tc>
      </w:tr>
    </w:tbl>
    <w:p/>
    <w:tbl>
      <w:tblPr>
        <w:tblW w:w="5000" w:type="pct"/>
        <w:tblBorders>
          <w:top w:val="single"/>
          <w:left w:val="single"/>
          <w:bottom w:val="single"/>
          <w:right w:val="single"/>
          <w:insideH w:val="single"/>
          <w:insideV w:val="single"/>
        </w:tblBorders>
      </w:tblPr>
      <w:tr>
        <w:tc>
          <w:tcPr>
            <w:tcW w:type="pct" w:w="625"/>
          </w:tcPr>
          <w:p>
            <w:r>
              <w:rPr>
                <w:sz w:val="20"/>
              </w:rPr>
              <w:t>No</w:t>
            </w:r>
          </w:p>
          <w:p>
            <w:r>
              <w:rPr>
                <w:sz w:val="20"/>
              </w:rPr>
              <w:t>Prix</w:t>
            </w:r>
          </w:p>
        </w:tc>
        <w:tc>
          <w:tcPr>
            <w:tcW w:type="pct" w:w="625"/>
          </w:tcPr>
          <w:p>
            <w:r>
              <w:rPr>
                <w:sz w:val="20"/>
              </w:rPr>
              <w:t>Désignation des ouvrages</w:t>
            </w:r>
          </w:p>
        </w:tc>
        <w:tc>
          <w:tcPr>
            <w:tcW w:type="pct" w:w="625"/>
          </w:tcPr>
          <w:p>
            <w:r>
              <w:rPr>
                <w:sz w:val="20"/>
              </w:rPr>
              <w:t>Unité</w:t>
            </w:r>
          </w:p>
        </w:tc>
        <w:tc>
          <w:tcPr>
            <w:tcW w:type="pct" w:w="625"/>
          </w:tcPr>
          <w:p>
            <w:r>
              <w:rPr>
                <w:sz w:val="20"/>
              </w:rPr>
              <w:t>Quantité</w:t>
            </w:r>
          </w:p>
        </w:tc>
        <w:tc>
          <w:tcPr>
            <w:tcW w:type="pct" w:w="625"/>
          </w:tcPr>
          <w:p>
            <w:r>
              <w:rPr>
                <w:sz w:val="20"/>
              </w:rPr>
              <w:t>Part en Ariary</w:t>
            </w:r>
          </w:p>
        </w:tc>
        <w:tc>
          <w:tcPr>
            <w:tcW w:type="pct" w:w="625"/>
          </w:tcPr>
          <w:p>
            <w:r>
              <w:rPr>
                <w:sz w:val="20"/>
              </w:rPr>
              <w:t>Part en devises</w:t>
            </w:r>
          </w:p>
        </w:tc>
        <w:tc>
          <w:tcPr>
            <w:tcW w:type="pct" w:w="625"/>
          </w:tcPr>
          <w:p>
            <w:r>
              <w:rPr>
                <w:sz w:val="20"/>
              </w:rPr>
              <w:t>Part en Ariary</w:t>
            </w:r>
          </w:p>
        </w:tc>
        <w:tc>
          <w:tcPr>
            <w:tcW w:type="pct" w:w="625"/>
          </w:tcPr>
          <w:p>
            <w:r>
              <w:rPr>
                <w:sz w:val="20"/>
              </w:rPr>
              <w:t>Part en devises (1)</w:t>
            </w:r>
          </w:p>
        </w:tc>
      </w:tr>
      <w:tr>
        <w:tc>
          <w:tcPr>
            <w:tcW w:type="pct" w:w="625"/>
          </w:tcPr>
          <w:p>
            <w:r>
              <w:rPr>
                <w:sz w:val="20"/>
              </w:rPr>
              <w:t/>
            </w:r>
          </w:p>
        </w:tc>
        <w:tc>
          <w:tcPr>
            <w:tcW w:type="pct" w:w="625"/>
          </w:tcPr>
          <w:p>
            <w:r>
              <w:rPr>
                <w:sz w:val="20"/>
              </w:rPr>
              <w:t>Poste &lt;numéro&gt;- &lt;intitulé&gt;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r>
        <w:tc>
          <w:tcPr>
            <w:tcW w:type="pct" w:w="625"/>
          </w:tcPr>
          <w:p>
            <w:r>
              <w:rPr>
                <w:sz w:val="20"/>
              </w:rPr>
              <w:t/>
            </w:r>
          </w:p>
        </w:tc>
        <w:tc>
          <w:tcPr>
            <w:tcW w:type="pct" w:w="625"/>
          </w:tcPr>
          <w:p>
            <w:r>
              <w:rPr>
                <w:sz w:val="20"/>
              </w:rPr>
              <w:t>TOTAL POSTE</w:t>
            </w:r>
          </w:p>
        </w:tc>
        <w:tc>
          <w:tcPr>
            <w:tcW w:type="pct" w:w="625"/>
          </w:tcPr>
          <w:p>
            <w:r>
              <w:rPr>
                <w:sz w:val="20"/>
              </w:rPr>
              <w:t>Forfait</w:t>
            </w:r>
          </w:p>
          <w:p>
            <w:r>
              <w:rPr>
                <w:sz w:val="20"/>
              </w:rPr>
              <w:t>&lt;soit</w:t>
            </w:r>
          </w:p>
          <w:p>
            <w:r>
              <w:rPr>
                <w:sz w:val="20"/>
              </w:rPr>
              <w:t>unité de mesure&gt;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bl>
    <w:p/>
    <w:p>
      <w:pPr>
        <w:spacing w:after="160"/>
        <w:jc w:val="left"/>
      </w:pPr>
      <w:r>
        <w:rPr>
          <w:b w:val="on"/>
          <w:sz w:val="22"/>
        </w:rPr>
        <w:t>SPECIFICATIONS TECHNIQUES</w:t>
      </w:r>
    </w:p>
    <w:p>
      <w:pPr>
        <w:spacing w:after="120"/>
        <w:jc w:val="both"/>
      </w:pPr>
      <w:r>
        <w:rPr>
          <w:b w:val="off"/>
          <w:sz w:val="22"/>
        </w:rPr>
        <w:t>Annexe aux Spécifications Techniques</w:t>
      </w:r>
    </w:p>
    <w:p>
      <w:pPr>
        <w:spacing w:after="120"/>
        <w:jc w:val="both"/>
      </w:pPr>
      <w:r>
        <w:rPr>
          <w:b w:val="off"/>
          <w:sz w:val="22"/>
        </w:rPr>
        <w:t>Liste des Plans</w:t>
      </w:r>
    </w:p>
    <w:p>
      <w:pPr>
        <w:spacing w:after="120"/>
        <w:jc w:val="both"/>
      </w:pPr>
      <w:r>
        <w:rPr>
          <w:b w:val="off"/>
          <w:sz w:val="22"/>
        </w:rPr>
        <w:t>{{SI:PLANS}}</w:t>
      </w:r>
    </w:p>
    <w:p>
      <w:pPr>
        <w:spacing w:after="120"/>
        <w:jc w:val="both"/>
      </w:pPr>
      <w:r>
        <w:rPr>
          <w:b w:val="off"/>
          <w:sz w:val="22"/>
        </w:rPr>
        <w:t>{{B04-CD-03}}</w:t>
      </w:r>
    </w:p>
    <w:p>
      <w:pPr>
        <w:spacing w:after="120"/>
        <w:jc w:val="both"/>
      </w:pPr>
      <w:r>
        <w:rPr>
          <w:b w:val="off"/>
          <w:sz w:val="22"/>
        </w:rPr>
        <w:t>{{FINSI:PLANS}}</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2026-09-30T07:44:41Z</dcterms:created>
  <dc:creator>Apache POI</dc:creator>
</cp:coreProperties>
</file>