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{{B04-LR-02}} au plus tard le {{B04-LR-03}}, {{B04-LR-04}}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{{SI:GARANTIE-LOTS}}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{{B05-GS-03.parLot}},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{{FINSI:GARANTIE-LOTS}}</w:t>
      </w:r>
    </w:p>
    <w:p>
      <w:pPr>
        <w:spacing w:after="120"/>
        <w:jc w:val="both"/>
      </w:pPr>
      <w:r>
        <w:rPr>
          <w:b w:val="off"/>
          <w:sz w:val="22"/>
        </w:rPr>
        <w:t>{{SI:GARANTIE-UNIQUE}}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{{B05-GS-03.lettres}} ({{B05-GS-03}}),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{{FINSI:GARANTIE-UNIQUE}}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2026-10-01T07:37:02Z</dcterms:created>
  <dc:creator>Apache POI</dc:creator>
</cp:coreProperties>
</file>