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 w:val="off"/>
          <w:sz w:val="22"/>
        </w:rPr>
        <w:t>{{IMAGE:embleme}}</w:t>
      </w:r>
    </w:p>
    <w:p>
      <w:pPr>
        <w:spacing w:after="120"/>
        <w:jc w:val="center"/>
      </w:pPr>
      <w:r>
        <w:rPr>
          <w:b w:val="off"/>
          <w:sz w:val="22"/>
        </w:rPr>
        <w:t>{{B01-AC-01}}</w:t>
      </w:r>
    </w:p>
    <w:p>
      <w:pPr>
        <w:spacing w:after="120"/>
        <w:jc w:val="center"/>
      </w:pPr>
      <w:r>
        <w:rPr>
          <w:b w:val="off"/>
          <w:sz w:val="22"/>
        </w:rPr>
        <w:t>LA PERSONNE RESPONSABLE DES MARCHES PUBLICS</w:t>
      </w:r>
    </w:p>
    <w:p>
      <w:pPr>
        <w:spacing w:after="120"/>
        <w:jc w:val="center"/>
      </w:pPr>
      <w:r>
        <w:rPr>
          <w:b w:val="off"/>
          <w:sz w:val="22"/>
        </w:rPr>
        <w:t>UNITE DE GESTION DE PASSATION DES MARCHES PUBLICS</w:t>
      </w:r>
    </w:p>
    <w:p>
      <w:pPr>
        <w:spacing w:after="240"/>
        <w:jc w:val="center"/>
      </w:pPr>
      <w:r>
        <w:rPr>
          <w:b w:val="on"/>
          <w:sz w:val="26"/>
        </w:rPr>
        <w:t>LETTRE D’INVITATION</w:t>
      </w:r>
    </w:p>
    <w:p>
      <w:pPr>
        <w:spacing w:after="120"/>
        <w:jc w:val="both"/>
      </w:pPr>
      <w:r>
        <w:rPr>
          <w:b w:val="off"/>
          <w:sz w:val="22"/>
        </w:rPr>
        <w:t>Référence: {{B02-OB-03}} — {{B02-OB-01}}</w:t>
      </w:r>
    </w:p>
    <w:p>
      <w:pPr>
        <w:spacing w:after="120"/>
        <w:jc w:val="both"/>
      </w:pPr>
      <w:r>
        <w:rPr>
          <w:b w:val="off"/>
          <w:sz w:val="22"/>
        </w:rPr>
        <w:t>{{LETTRE.lieu}}, {{LETTRE.date}}</w:t>
      </w:r>
    </w:p>
    <w:p>
      <w:pPr>
        <w:spacing w:after="120"/>
        <w:jc w:val="both"/>
      </w:pPr>
      <w:r>
        <w:rPr>
          <w:b w:val="off"/>
          <w:sz w:val="22"/>
        </w:rPr>
        <w:t>{{LETTRE.destinataire}}</w:t>
      </w:r>
    </w:p>
    <w:p>
      <w:pPr>
        <w:spacing w:after="120"/>
        <w:jc w:val="both"/>
      </w:pPr>
      <w:r>
        <w:rPr>
          <w:b w:val="off"/>
          <w:sz w:val="22"/>
        </w:rPr>
        <w:t>Madame, Monsieur</w:t>
      </w:r>
    </w:p>
    <w:p>
      <w:pPr>
        <w:spacing w:after="120"/>
        <w:jc w:val="both"/>
      </w:pPr>
      <w:r>
        <w:rPr>
          <w:b w:val="off"/>
          <w:sz w:val="22"/>
        </w:rPr>
        <w:t>1. Nous avons l’honneur de vous aviser que vous avez été présélectionné, sur la base de la manifestation d'intérêt que vous avez remise, en vue de concourir à l'attribution du marché cité en référence. Vous trouverez dans les Termes de Références inclus dans le Dossier de Consultation ci-joint la description détaillée des prestations attendues.</w:t>
      </w:r>
    </w:p>
    <w:p>
      <w:pPr>
        <w:spacing w:after="120"/>
        <w:jc w:val="both"/>
      </w:pPr>
      <w:r>
        <w:rPr>
          <w:b w:val="off"/>
          <w:sz w:val="22"/>
        </w:rPr>
        <w:t>Nous vous invitons en conséquence, par la présente, ainsi que les autres candidats sélectionnés, à présenter une proposition concernant l'exécution de ce marché.</w:t>
      </w:r>
    </w:p>
    <w:p>
      <w:pPr>
        <w:spacing w:after="120"/>
        <w:jc w:val="both"/>
      </w:pPr>
      <w:r>
        <w:rPr>
          <w:b w:val="off"/>
          <w:sz w:val="22"/>
        </w:rPr>
        <w:t>2. Une lettre d'invitation accompagnant le présent Dossier de Consultation a été adressée aux candidats dont les noms figurent ci-après :</w:t>
      </w:r>
    </w:p>
    <w:p>
      <w:pPr>
        <w:spacing w:after="120"/>
        <w:jc w:val="both"/>
      </w:pPr>
      <w:r>
        <w:rPr>
          <w:b w:val="off"/>
          <w:sz w:val="22"/>
        </w:rPr>
        <w:t>{{LETTRE.candidats}}</w:t>
      </w:r>
    </w:p>
    <w:p>
      <w:pPr>
        <w:spacing w:after="120"/>
        <w:jc w:val="both"/>
      </w:pPr>
      <w:r>
        <w:rPr>
          <w:b w:val="off"/>
          <w:sz w:val="22"/>
        </w:rPr>
        <w:t>3. Le Marché sera attribué au candidat choisi, conformément à l'Article 26 du Code des Marchés Publics, sur la base:</w:t>
      </w:r>
    </w:p>
    <w:p>
      <w:pPr>
        <w:spacing w:after="120"/>
        <w:jc w:val="both"/>
      </w:pPr>
      <w:r>
        <w:rPr>
          <w:b w:val="off"/>
          <w:sz w:val="22"/>
        </w:rPr>
        <w:t>{{SI:SFQC}}</w:t>
      </w:r>
    </w:p>
    <w:p>
      <w:pPr>
        <w:spacing w:after="120"/>
        <w:jc w:val="both"/>
      </w:pPr>
      <w:r>
        <w:rPr>
          <w:b w:val="off"/>
          <w:sz w:val="22"/>
        </w:rPr>
        <w:t>de la qualité technique de la proposition, de l’expérience du candidat, de la qualification des experts et de la méthode de travail proposée ainsi que du montant de la proposition,</w:t>
      </w:r>
    </w:p>
    <w:p>
      <w:pPr>
        <w:spacing w:after="120"/>
        <w:jc w:val="both"/>
      </w:pPr>
      <w:r>
        <w:rPr>
          <w:b w:val="off"/>
          <w:sz w:val="22"/>
        </w:rPr>
        <w:t>{{FINSI:SFQC}}</w:t>
      </w:r>
    </w:p>
    <w:p>
      <w:pPr>
        <w:spacing w:after="120"/>
        <w:jc w:val="both"/>
      </w:pPr>
      <w:r>
        <w:rPr>
          <w:b w:val="off"/>
          <w:sz w:val="22"/>
        </w:rPr>
        <w:t>{{SI:BUDGET}}</w:t>
      </w:r>
    </w:p>
    <w:p>
      <w:pPr>
        <w:spacing w:after="120"/>
        <w:jc w:val="both"/>
      </w:pPr>
      <w:r>
        <w:rPr>
          <w:b w:val="off"/>
          <w:sz w:val="22"/>
        </w:rPr>
        <w:t>d’un budget prédéterminé dont le candidat doit proposer la meilleure utilisation possible,</w:t>
      </w:r>
    </w:p>
    <w:p>
      <w:pPr>
        <w:spacing w:after="120"/>
        <w:jc w:val="both"/>
      </w:pPr>
      <w:r>
        <w:rPr>
          <w:b w:val="off"/>
          <w:sz w:val="22"/>
        </w:rPr>
        <w:t>{{FINSI:BUDGET}}</w:t>
      </w:r>
    </w:p>
    <w:p>
      <w:pPr>
        <w:spacing w:after="120"/>
        <w:jc w:val="both"/>
      </w:pPr>
      <w:r>
        <w:rPr>
          <w:b w:val="off"/>
          <w:sz w:val="22"/>
        </w:rPr>
        <w:t>{{SI:MOINDRE-COUT}}</w:t>
      </w:r>
    </w:p>
    <w:p>
      <w:pPr>
        <w:spacing w:after="120"/>
        <w:jc w:val="both"/>
      </w:pPr>
      <w:r>
        <w:rPr>
          <w:b w:val="off"/>
          <w:sz w:val="22"/>
        </w:rPr>
        <w:t>de la meilleure proposition financière soumise par les candidats ayant obtenu une notation technique minimum.</w:t>
      </w:r>
    </w:p>
    <w:p>
      <w:pPr>
        <w:spacing w:after="120"/>
        <w:jc w:val="both"/>
      </w:pPr>
      <w:r>
        <w:rPr>
          <w:b w:val="off"/>
          <w:sz w:val="22"/>
        </w:rPr>
        <w:t>{{FINSI:MOINDRE-COUT}}</w:t>
      </w:r>
    </w:p>
    <w:p>
      <w:pPr>
        <w:spacing w:after="120"/>
        <w:jc w:val="both"/>
      </w:pPr>
      <w:r>
        <w:rPr>
          <w:b w:val="off"/>
          <w:sz w:val="22"/>
        </w:rPr>
        <w:t>{{SI:QUALITE-SEULE}}</w:t>
      </w:r>
    </w:p>
    <w:p>
      <w:pPr>
        <w:spacing w:after="120"/>
        <w:jc w:val="both"/>
      </w:pPr>
      <w:r>
        <w:rPr>
          <w:b w:val="off"/>
          <w:sz w:val="22"/>
        </w:rPr>
        <w:t>exclusivement de la qualité technique</w:t>
      </w:r>
    </w:p>
    <w:p>
      <w:pPr>
        <w:spacing w:after="120"/>
        <w:jc w:val="both"/>
      </w:pPr>
      <w:r>
        <w:rPr>
          <w:b w:val="off"/>
          <w:sz w:val="22"/>
        </w:rPr>
        <w:t>{{FINSI:QUALITE-SEULE}}</w:t>
      </w:r>
    </w:p>
    <w:p>
      <w:pPr>
        <w:spacing w:after="120"/>
        <w:jc w:val="both"/>
      </w:pPr>
      <w:r>
        <w:rPr>
          <w:b w:val="off"/>
          <w:sz w:val="22"/>
        </w:rPr>
        <w:t>Les procédures et critères de sélection sont décrits dans les Instructions aux Candidats qui font partie du Dossier de Consultation ci-joint.</w:t>
      </w:r>
    </w:p>
    <w:p>
      <w:pPr>
        <w:spacing w:after="120"/>
        <w:jc w:val="both"/>
      </w:pPr>
      <w:r>
        <w:rPr>
          <w:b w:val="off"/>
          <w:sz w:val="22"/>
        </w:rPr>
        <w:t>4. Le Dossier de Consultation comprend les documents suivants :</w:t>
      </w:r>
    </w:p>
    <w:p>
      <w:pPr>
        <w:spacing w:after="120"/>
        <w:jc w:val="both"/>
      </w:pPr>
      <w:r>
        <w:rPr>
          <w:b w:val="off"/>
          <w:sz w:val="22"/>
        </w:rPr>
        <w:t>Les documents relatifs à la procédure de passation :</w:t>
      </w:r>
    </w:p>
    <w:p>
      <w:pPr>
        <w:spacing w:after="120"/>
        <w:jc w:val="both"/>
      </w:pPr>
      <w:r>
        <w:rPr>
          <w:b w:val="off"/>
          <w:sz w:val="22"/>
        </w:rPr>
        <w:t>La présente Lettre d’invitation;</w:t>
      </w:r>
    </w:p>
    <w:p>
      <w:pPr>
        <w:spacing w:after="120"/>
        <w:jc w:val="both"/>
      </w:pPr>
      <w:r>
        <w:rPr>
          <w:b w:val="off"/>
          <w:sz w:val="22"/>
        </w:rPr>
        <w:t>Les instructions aux candidats, y compris les Formulaires types pour présenter la proposition technique, les Formulaires types pour présenter la Proposition financière et les Données Particulières des instructions aux candidats;</w:t>
      </w:r>
    </w:p>
    <w:p>
      <w:pPr>
        <w:spacing w:after="120"/>
        <w:jc w:val="both"/>
      </w:pPr>
      <w:r>
        <w:rPr>
          <w:b w:val="off"/>
          <w:sz w:val="22"/>
        </w:rPr>
        <w:t>Les Termes de référence</w:t>
      </w:r>
    </w:p>
    <w:p>
      <w:pPr>
        <w:spacing w:after="120"/>
        <w:jc w:val="both"/>
      </w:pPr>
      <w:r>
        <w:rPr>
          <w:b w:val="off"/>
          <w:sz w:val="22"/>
        </w:rPr>
        <w:t>Les documents constituant le marché :</w:t>
      </w:r>
    </w:p>
    <w:p>
      <w:pPr>
        <w:spacing w:after="120"/>
        <w:jc w:val="both"/>
      </w:pPr>
      <w:r>
        <w:rPr>
          <w:b w:val="off"/>
          <w:sz w:val="22"/>
        </w:rPr>
        <w:t>L'Acte d'Engagement</w:t>
      </w:r>
    </w:p>
    <w:p>
      <w:pPr>
        <w:spacing w:after="120"/>
        <w:jc w:val="both"/>
      </w:pPr>
      <w:r>
        <w:rPr>
          <w:b w:val="off"/>
          <w:sz w:val="22"/>
        </w:rPr>
        <w:t>Le Cahier des Prescriptions Spéciales qui comprend le Cahier des Clauses administratives Particulières et les Termes de références;</w:t>
      </w:r>
    </w:p>
    <w:p>
      <w:pPr>
        <w:spacing w:after="120"/>
        <w:jc w:val="both"/>
      </w:pPr>
      <w:r>
        <w:rPr>
          <w:b w:val="off"/>
          <w:sz w:val="22"/>
        </w:rPr>
        <w:t>le Cahier des Clauses administratives Générales applicables au marché de prestations intellectuelles;</w:t>
      </w:r>
    </w:p>
    <w:p>
      <w:pPr>
        <w:spacing w:after="120"/>
        <w:jc w:val="both"/>
      </w:pPr>
      <w:r>
        <w:rPr>
          <w:b w:val="off"/>
          <w:sz w:val="22"/>
        </w:rPr>
        <w:t>5. Nous vous serions reconnaissants de nous faire savoir, par écrit, dès réception, à l’adresse suivante:</w:t>
      </w:r>
    </w:p>
    <w:p>
      <w:pPr>
        <w:spacing w:after="120"/>
        <w:jc w:val="both"/>
      </w:pPr>
      <w:r>
        <w:rPr>
          <w:b w:val="off"/>
          <w:sz w:val="22"/>
        </w:rPr>
        <w:t>{{B01-AC-02}} ({{B01-AC-06}}):</w:t>
      </w:r>
    </w:p>
    <w:p>
      <w:pPr>
        <w:spacing w:after="120"/>
        <w:jc w:val="both"/>
      </w:pPr>
      <w:r>
        <w:rPr>
          <w:b w:val="off"/>
          <w:sz w:val="22"/>
        </w:rPr>
        <w:t>que vous avez reçu cette lettre d’invitation; et</w:t>
      </w:r>
    </w:p>
    <w:p>
      <w:pPr>
        <w:spacing w:after="120"/>
        <w:jc w:val="both"/>
      </w:pPr>
      <w:r>
        <w:rPr>
          <w:b w:val="off"/>
          <w:sz w:val="22"/>
        </w:rPr>
        <w:t>que vous soumettrez une proposition, seul ou en association.</w:t>
      </w:r>
    </w:p>
    <w:p>
      <w:pPr>
        <w:spacing w:after="120"/>
        <w:jc w:val="both"/>
      </w:pPr>
      <w:r>
        <w:rPr>
          <w:b w:val="off"/>
          <w:sz w:val="22"/>
        </w:rPr>
        <w:t>Veuillez agréer, Madame/Monsieur, l’assurance de ma considération distinguée</w:t>
      </w:r>
    </w:p>
    <w:p>
      <w:pPr>
        <w:spacing w:after="120"/>
        <w:jc w:val="both"/>
      </w:pPr>
      <w:r>
        <w:rPr>
          <w:b w:val="off"/>
          <w:sz w:val="22"/>
        </w:rPr>
        <w:t>La Personne Responsable des Marchés Publics</w:t>
      </w:r>
    </w:p>
    <w:p>
      <w:pPr>
        <w:spacing w:after="120"/>
        <w:jc w:val="both"/>
      </w:pPr>
      <w:r>
        <w:rPr>
          <w:b w:val="off"/>
          <w:sz w:val="22"/>
        </w:rPr>
        <w:t>{{B01-AC-05}}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2026-10-01T08:24:23Z</dcterms:created>
  <dc:creator>Apache POI</dc:creator>
</cp:coreProperties>
</file>