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{{B03-QT-18}}, d’un montant équivalant à</w:t>
            </w:r>
          </w:p>
          <w:p>
            <w:r>
              <w:rPr>
                <w:sz w:val="20"/>
              </w:rPr>
              <w:t>{{B03-QT-07}}</w:t>
            </w:r>
          </w:p>
          <w:p>
            <w:r>
              <w:rPr>
                <w:sz w:val="20"/>
              </w:rPr>
              <w:t>{{FINSI:CHIFFRE-AFFAIRES}}</w:t>
            </w:r>
          </w:p>
          <w:p>
            <w:r>
              <w:rPr>
                <w:sz w:val="20"/>
              </w:rPr>
              <w:t>{{SI:CA-MOYENNE}}</w:t>
            </w:r>
          </w:p>
          <w:p>
            <w:r>
              <w:rPr>
                <w:sz w:val="20"/>
              </w:rPr>
              <w:t>a) avoir réalisé un chiffre d’affaires annuel moyen, calculé sur les {{B03-QT-16.lettres}} ({{B03-QT-16}}) meilleures des {{B03-QT-17.lettres}} ({{B03-QT-17}}) dernières années, pour des {{B03-QT-18}}, d’un montant équivalant à {{B03-QT-07}}</w:t>
            </w:r>
          </w:p>
          <w:p>
            <w:r>
              <w:rPr>
                <w:sz w:val="20"/>
              </w:rPr>
              <w:t>{{FINSI:CA-MOYENNE}}</w:t>
            </w:r>
          </w:p>
          <w:p>
            <w:r>
              <w:rPr>
                <w:sz w:val="20"/>
              </w:rPr>
              <w:t>{{SI:REFERENCES-UN}}</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{{FINSI:REFERENCES-UN}}</w:t>
            </w:r>
          </w:p>
          <w:p>
            <w:r>
              <w:rPr>
                <w:sz w:val="20"/>
              </w:rPr>
              <w:t>{{SI:REFERENCES-CUMUL}}</w:t>
            </w:r>
          </w:p>
          <w:p>
            <w:r>
              <w:rPr>
                <w:sz w:val="20"/>
              </w:rPr>
              <w:t>b) avoir réalisé avec succès en tant qu’entrepreneur principal, au cours des {{B03-QT-12.lettres}} ({{B03-QT-12}}) dernières années, au plus {{B03-QT-19.lettres}} ({{B03-QT-19}}) marchés de nature et de complexité comparables à celles des Travaux, d’un montant cumulé d’au moins {{B03-QT-20.parLot}}, et comprenant :</w:t>
            </w:r>
          </w:p>
          <w:p>
            <w:r>
              <w:rPr>
                <w:sz w:val="20"/>
              </w:rPr>
              <w:t>{{FINSI:REFERENCES-CUMUL}}</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 {{B03-QT-13}}</w:t>
            </w:r>
          </w:p>
          <w:p>
            <w:r>
              <w:rPr>
                <w:sz w:val="20"/>
              </w:rPr>
              <w:t>{{FINSI:PERSONNEL-CLE}}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{{SI:LIQUIDITE-POURCENT}}</w:t>
            </w:r>
          </w:p>
          <w:p>
            <w:r>
              <w:rPr>
                <w:sz w:val="20"/>
              </w:rPr>
              <w:t>(f) justifier d’une liquidité ou d’une ligne de crédit délivrée par une banque primaire, d’un montant minimum égal à {{B03-QT-15.parLot}} du montant de son offre</w:t>
            </w:r>
          </w:p>
          <w:p>
            <w:r>
              <w:rPr>
                <w:sz w:val="20"/>
              </w:rPr>
              <w:t>{{FINSI:LIQUIDITE-POURCENT}}</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{{B05-GQ-04}}</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{{B04-OV-02.heure}}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2026-10-03T02:45:33Z</dcterms:created>
  <dc:creator>Apache POI</dc:creator>
</cp:coreProperties>
</file>