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a) avoir réalisé un chiffre d’affaires annuel, pour des travaux de construction, d’un montant équivalant à</w:t>
            </w:r>
          </w:p>
          <w:p>
            <w:r>
              <w:rPr>
                <w:sz w:val="20"/>
              </w:rPr>
              <w:t>{{B03-QT-07}}</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 {{B03-QT-13}}</w:t>
            </w:r>
          </w:p>
          <w:p>
            <w:r>
              <w:rPr>
                <w:sz w:val="20"/>
              </w:rPr>
              <w:t>{{FINSI:PERSONNEL-CLE}}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2026-10-01T15:53:51Z</dcterms:created>
  <dc:creator>Apache POI</dc:creator>
</cp:coreProperties>
</file>