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jc w:val="center"/>
      </w:pPr>
      <w:r>
        <w:rPr>
          <w:b w:val="off"/>
          <w:sz w:val="22"/>
        </w:rPr>
        <w:t>{{IMAGE:embleme}}</w:t>
      </w:r>
    </w:p>
    <w:p>
      <w:pPr>
        <w:spacing w:after="120"/>
        <w:jc w:val="center"/>
      </w:pPr>
      <w:r>
        <w:rPr>
          <w:b w:val="off"/>
          <w:sz w:val="22"/>
        </w:rPr>
        <w:t>{{B01-AC-01}}</w:t>
      </w:r>
    </w:p>
    <w:p>
      <w:pPr>
        <w:spacing w:after="120"/>
        <w:jc w:val="center"/>
      </w:pPr>
      <w:r>
        <w:rPr>
          <w:b w:val="off"/>
          <w:sz w:val="22"/>
        </w:rPr>
        <w:t>LA PERSONNE RESPONSABLE DES MARCHES PUBLICS</w:t>
      </w:r>
    </w:p>
    <w:p>
      <w:pPr>
        <w:spacing w:after="120"/>
        <w:jc w:val="center"/>
      </w:pPr>
      <w:r>
        <w:rPr>
          <w:b w:val="off"/>
          <w:sz w:val="22"/>
        </w:rPr>
        <w:t>UNITE DE GESTION DE PASSATION DES MARCHES PUBLICS</w:t>
      </w:r>
    </w:p>
    <w:p>
      <w:pPr>
        <w:spacing w:after="240"/>
        <w:jc w:val="center"/>
      </w:pPr>
      <w:r>
        <w:rPr>
          <w:b w:val="on"/>
          <w:sz w:val="26"/>
        </w:rPr>
        <w:t>Avis d’Appel d’Offres Ouvert</w:t>
      </w:r>
    </w:p>
    <w:p>
      <w:pPr>
        <w:spacing w:after="120"/>
        <w:jc w:val="both"/>
      </w:pPr>
      <w:r>
        <w:rPr>
          <w:b w:val="off"/>
          <w:sz w:val="22"/>
        </w:rPr>
        <w:t>{{SI:ORDINAIRE}}</w:t>
      </w:r>
    </w:p>
    <w:p>
      <w:pPr>
        <w:spacing w:after="120"/>
        <w:jc w:val="center"/>
      </w:pPr>
      <w:r>
        <w:rPr>
          <w:b w:val="off"/>
          <w:sz w:val="22"/>
        </w:rPr>
        <w:t>N° {{B02-OB-03}}</w:t>
      </w:r>
    </w:p>
    <w:p>
      <w:pPr>
        <w:spacing w:after="120"/>
        <w:jc w:val="both"/>
      </w:pPr>
      <w:r>
        <w:rPr>
          <w:b w:val="off"/>
          <w:sz w:val="22"/>
        </w:rPr>
        <w:t>{{FINSI:ORDINAIRE}}</w:t>
      </w:r>
    </w:p>
    <w:p>
      <w:pPr>
        <w:spacing w:after="120"/>
        <w:jc w:val="both"/>
      </w:pPr>
      <w:r>
        <w:rPr>
          <w:b w:val="off"/>
          <w:sz w:val="22"/>
        </w:rPr>
        <w:t>{{SI:CC}}</w:t>
      </w:r>
    </w:p>
    <w:p>
      <w:pPr>
        <w:spacing w:after="120"/>
        <w:jc w:val="center"/>
      </w:pPr>
      <w:r>
        <w:rPr>
          <w:b w:val="off"/>
          <w:sz w:val="22"/>
        </w:rPr>
        <w:t>N° {{B02-OE-01}}</w:t>
      </w:r>
    </w:p>
    <w:p>
      <w:pPr>
        <w:spacing w:after="120"/>
        <w:jc w:val="both"/>
      </w:pPr>
      <w:r>
        <w:rPr>
          <w:b w:val="off"/>
          <w:sz w:val="22"/>
        </w:rPr>
        <w:t>{{FINSI:CC}}</w:t>
      </w:r>
    </w:p>
    <w:p>
      <w:pPr>
        <w:spacing w:after="120"/>
        <w:jc w:val="both"/>
      </w:pPr>
      <w:r>
        <w:rPr>
          <w:b w:val="off"/>
          <w:sz w:val="22"/>
        </w:rPr>
        <w:t>{{SI:SUPPORTS}}</w:t>
      </w:r>
    </w:p>
    <w:p>
      <w:pPr>
        <w:spacing w:after="120"/>
        <w:jc w:val="both"/>
      </w:pPr>
      <w:r>
        <w:rPr>
          <w:b w:val="off"/>
          <w:sz w:val="22"/>
        </w:rPr>
        <w:t>{{NUM}} Cet Avis spécifique d’Appel d’Offres Ouvert fait suite à l’Avis Général de Passation des Marchés publié dans le Journal des Marchés Publics n°{{AVIS.jmp-numero}} en date du {{AVIS.jmp-date}} et dans {{AVIS.supports}}.</w:t>
      </w:r>
    </w:p>
    <w:p>
      <w:pPr>
        <w:spacing w:after="120"/>
        <w:jc w:val="both"/>
      </w:pPr>
      <w:r>
        <w:rPr>
          <w:b w:val="off"/>
          <w:sz w:val="22"/>
        </w:rPr>
        <w:t>{{FINSI:SUPPORTS}}</w:t>
      </w:r>
    </w:p>
    <w:p>
      <w:pPr>
        <w:spacing w:after="120"/>
        <w:jc w:val="both"/>
      </w:pPr>
      <w:r>
        <w:rPr>
          <w:b w:val="off"/>
          <w:sz w:val="22"/>
        </w:rPr>
        <w:t>{{SI:SANS-SUPPORTS}}</w:t>
      </w:r>
    </w:p>
    <w:p>
      <w:pPr>
        <w:spacing w:after="120"/>
        <w:jc w:val="both"/>
      </w:pPr>
      <w:r>
        <w:rPr>
          <w:b w:val="off"/>
          <w:sz w:val="22"/>
        </w:rPr>
        <w:t>{{NUM}} Cet Avis spécifique d’Appel d’Offres Ouvert fait suite à l’Avis Général de Passation des Marchés publié dans le Journal des Marchés Publics n°{{AVIS.jmp-numero}} en date du {{AVIS.jmp-date}}.</w:t>
      </w:r>
    </w:p>
    <w:p>
      <w:pPr>
        <w:spacing w:after="120"/>
        <w:jc w:val="both"/>
      </w:pPr>
      <w:r>
        <w:rPr>
          <w:b w:val="off"/>
          <w:sz w:val="22"/>
        </w:rPr>
        <w:t>{{FINSI:SANS-SUPPORTS}}</w:t>
      </w:r>
    </w:p>
    <w:p>
      <w:pPr>
        <w:spacing w:after="120"/>
        <w:jc w:val="both"/>
      </w:pPr>
      <w:r>
        <w:rPr>
          <w:b w:val="off"/>
          <w:sz w:val="22"/>
        </w:rPr>
        <w:t>{{SI:ORDINAIRE-ALLOTI}}</w:t>
      </w:r>
    </w:p>
    <w:p>
      <w:pPr>
        <w:spacing w:after="120"/>
        <w:jc w:val="both"/>
      </w:pPr>
      <w:r>
        <w:rPr>
          <w:b w:val="off"/>
          <w:sz w:val="22"/>
        </w:rPr>
        <w:t>{{NUM}} Le {{B01-AC-01}} sollicite de la part des candidats intéressés des offres sous plis fermés pour fournir « {{B02-OB-01}} ». Les fournitures sont réparties en {{B02-LV-01}} lots. Le (ou les) candidat(s) peut (ou peuvent) soumissionner pour un ou plusieurs lots.</w:t>
      </w:r>
    </w:p>
    <w:p>
      <w:pPr>
        <w:spacing w:after="120"/>
        <w:jc w:val="both"/>
      </w:pPr>
      <w:r>
        <w:rPr>
          <w:b w:val="off"/>
          <w:sz w:val="22"/>
        </w:rPr>
        <w:t>{{FINSI:ORDINAIRE-ALLOTI}}</w:t>
      </w:r>
    </w:p>
    <w:p>
      <w:pPr>
        <w:spacing w:after="120"/>
        <w:jc w:val="both"/>
      </w:pPr>
      <w:r>
        <w:rPr>
          <w:b w:val="off"/>
          <w:sz w:val="22"/>
        </w:rPr>
        <w:t>{{SI:ORDINAIRE-LOT-UNIQUE}}</w:t>
      </w:r>
    </w:p>
    <w:p>
      <w:pPr>
        <w:spacing w:after="120"/>
        <w:jc w:val="both"/>
      </w:pPr>
      <w:r>
        <w:rPr>
          <w:b w:val="off"/>
          <w:sz w:val="22"/>
        </w:rPr>
        <w:t>{{NUM}} Le {{B01-AC-01}} sollicite de la part des candidats intéressés des offres sous plis fermés pour fournir « {{B02-OB-01}} ». Les fournitures constituent un lot unique indivisible. Ainsi, toute offre partielle n’est pas recevable.</w:t>
      </w:r>
    </w:p>
    <w:p>
      <w:pPr>
        <w:spacing w:after="120"/>
        <w:jc w:val="both"/>
      </w:pPr>
      <w:r>
        <w:rPr>
          <w:b w:val="off"/>
          <w:sz w:val="22"/>
        </w:rPr>
        <w:t>{{FINSI:ORDINAIRE-LOT-UNIQUE}}</w:t>
      </w:r>
    </w:p>
    <w:p>
      <w:pPr>
        <w:spacing w:after="120"/>
        <w:jc w:val="both"/>
      </w:pPr>
      <w:r>
        <w:rPr>
          <w:b w:val="off"/>
          <w:sz w:val="22"/>
        </w:rPr>
        <w:t>{{SI:CC-ALLOTI}}</w:t>
      </w:r>
    </w:p>
    <w:p>
      <w:pPr>
        <w:spacing w:after="120"/>
        <w:jc w:val="both"/>
      </w:pPr>
      <w:r>
        <w:rPr>
          <w:b w:val="off"/>
          <w:sz w:val="22"/>
        </w:rPr>
        <w:t>{{NUM}} Le {{B01-AC-01}} sollicite de la part des candidats intéressés des offres et des candidatures sous plis fermés pour fournir « {{B02-OB-01}} ». Les fournitures sont réparties en {{B02-LV-01}} lots. Le (ou les) candidat(s) peut (ou peuvent) soumissionner pour un ou plusieurs lots.</w:t>
      </w:r>
    </w:p>
    <w:p>
      <w:pPr>
        <w:spacing w:after="120"/>
        <w:jc w:val="both"/>
      </w:pPr>
      <w:r>
        <w:rPr>
          <w:b w:val="off"/>
          <w:sz w:val="22"/>
        </w:rPr>
        <w:t>{{FINSI:CC-ALLOTI}}</w:t>
      </w:r>
    </w:p>
    <w:p>
      <w:pPr>
        <w:spacing w:after="120"/>
        <w:jc w:val="both"/>
      </w:pPr>
      <w:r>
        <w:rPr>
          <w:b w:val="off"/>
          <w:sz w:val="22"/>
        </w:rPr>
        <w:t>{{SI:CC-LOT-UNIQUE}}</w:t>
      </w:r>
    </w:p>
    <w:p>
      <w:pPr>
        <w:spacing w:after="120"/>
        <w:jc w:val="both"/>
      </w:pPr>
      <w:r>
        <w:rPr>
          <w:b w:val="off"/>
          <w:sz w:val="22"/>
        </w:rPr>
        <w:t>{{NUM}} Le {{B01-AC-01}} sollicite de la part des candidats intéressés des offres et des candidatures sous plis fermés pour fournir « {{B02-OB-01}} ». Les fournitures constituent un lot unique indivisible. Ainsi, toute offre partielle n’est pas recevable.</w:t>
      </w:r>
    </w:p>
    <w:p>
      <w:pPr>
        <w:spacing w:after="120"/>
        <w:jc w:val="both"/>
      </w:pPr>
      <w:r>
        <w:rPr>
          <w:b w:val="off"/>
          <w:sz w:val="22"/>
        </w:rPr>
        <w:t>{{FINSI:CC-LOT-UNIQUE}}</w:t>
      </w:r>
    </w:p>
    <w:p>
      <w:pPr>
        <w:spacing w:after="120"/>
        <w:jc w:val="both"/>
      </w:pPr>
      <w:r>
        <w:rPr>
          <w:b w:val="off"/>
          <w:sz w:val="22"/>
        </w:rPr>
        <w:t>{{SI:LOTS-MAX}}</w:t>
      </w:r>
    </w:p>
    <w:p>
      <w:pPr>
        <w:spacing w:after="120"/>
        <w:jc w:val="both"/>
      </w:pPr>
      <w:r>
        <w:rPr>
          <w:b w:val="off"/>
          <w:sz w:val="22"/>
        </w:rPr>
        <w:t>Un même candidat ne peut se voir attribuer plus de {{B02-AU-07}} lot(s).</w:t>
      </w:r>
    </w:p>
    <w:p>
      <w:pPr>
        <w:spacing w:after="120"/>
        <w:jc w:val="both"/>
      </w:pPr>
      <w:r>
        <w:rPr>
          <w:b w:val="off"/>
          <w:sz w:val="22"/>
        </w:rPr>
        <w:t>{{FINSI:LOTS-MAX}}</w:t>
      </w:r>
    </w:p>
    <w:p>
      <w:pPr>
        <w:spacing w:after="120"/>
        <w:jc w:val="both"/>
      </w:pPr>
      <w:r>
        <w:rPr>
          <w:b w:val="off"/>
          <w:sz w:val="22"/>
        </w:rPr>
        <w:t>{{SI:QF-UNITAIRES}}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quantités fixes » conclu à prix unitaire.</w:t>
      </w:r>
    </w:p>
    <w:p>
      <w:pPr>
        <w:spacing w:after="120"/>
        <w:jc w:val="both"/>
      </w:pPr>
      <w:r>
        <w:rPr>
          <w:b w:val="off"/>
          <w:sz w:val="22"/>
        </w:rPr>
        <w:t>{{FINSI:QF-UNITAIRES}}</w:t>
      </w:r>
    </w:p>
    <w:p>
      <w:pPr>
        <w:spacing w:after="120"/>
        <w:jc w:val="both"/>
      </w:pPr>
      <w:r>
        <w:rPr>
          <w:b w:val="off"/>
          <w:sz w:val="22"/>
        </w:rPr>
        <w:t>{{SI:QF-FORFAITAIRE}}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quantités fixes » conclu à prix forfaitaire.</w:t>
      </w:r>
    </w:p>
    <w:p>
      <w:pPr>
        <w:spacing w:after="120"/>
        <w:jc w:val="both"/>
      </w:pPr>
      <w:r>
        <w:rPr>
          <w:b w:val="off"/>
          <w:sz w:val="22"/>
        </w:rPr>
        <w:t>{{FINSI:QF-FORFAITAIRE}}</w:t>
      </w:r>
    </w:p>
    <w:p>
      <w:pPr>
        <w:spacing w:after="120"/>
        <w:jc w:val="both"/>
      </w:pPr>
      <w:r>
        <w:rPr>
          <w:b w:val="off"/>
          <w:sz w:val="22"/>
        </w:rPr>
        <w:t>{{SI:AC-UNITAIRES}}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commandes » conclu à prix unitaire.</w:t>
      </w:r>
    </w:p>
    <w:p>
      <w:pPr>
        <w:spacing w:after="120"/>
        <w:jc w:val="both"/>
      </w:pPr>
      <w:r>
        <w:rPr>
          <w:b w:val="off"/>
          <w:sz w:val="22"/>
        </w:rPr>
        <w:t>{{FINSI:AC-UNITAIRES}}</w:t>
      </w:r>
    </w:p>
    <w:p>
      <w:pPr>
        <w:spacing w:after="120"/>
        <w:jc w:val="both"/>
      </w:pPr>
      <w:r>
        <w:rPr>
          <w:b w:val="off"/>
          <w:sz w:val="22"/>
        </w:rPr>
        <w:t>{{SI:AC-FORFAITAIRE}}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commandes » conclu à prix forfaitaire.</w:t>
      </w:r>
    </w:p>
    <w:p>
      <w:pPr>
        <w:spacing w:after="120"/>
        <w:jc w:val="both"/>
      </w:pPr>
      <w:r>
        <w:rPr>
          <w:b w:val="off"/>
          <w:sz w:val="22"/>
        </w:rPr>
        <w:t>{{FINSI:AC-FORFAITAIRE}}</w:t>
      </w:r>
    </w:p>
    <w:p>
      <w:pPr>
        <w:spacing w:after="120"/>
        <w:jc w:val="both"/>
      </w:pPr>
      <w:r>
        <w:rPr>
          <w:b w:val="off"/>
          <w:sz w:val="22"/>
        </w:rPr>
        <w:t>{{SI:CC-UNITAIRES}}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contrat-cadre » conclu à prix unitaire.</w:t>
      </w:r>
    </w:p>
    <w:p>
      <w:pPr>
        <w:spacing w:after="120"/>
        <w:jc w:val="both"/>
      </w:pPr>
      <w:r>
        <w:rPr>
          <w:b w:val="off"/>
          <w:sz w:val="22"/>
        </w:rPr>
        <w:t>{{FINSI:CC-UNITAIRES}}</w:t>
      </w:r>
    </w:p>
    <w:p>
      <w:pPr>
        <w:spacing w:after="120"/>
        <w:jc w:val="both"/>
      </w:pPr>
      <w:r>
        <w:rPr>
          <w:b w:val="off"/>
          <w:sz w:val="22"/>
        </w:rPr>
        <w:t>{{SI:CC-FORFAITAIRE}}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contrat-cadre » conclu à prix forfaitaire.</w:t>
      </w:r>
    </w:p>
    <w:p>
      <w:pPr>
        <w:spacing w:after="120"/>
        <w:jc w:val="both"/>
      </w:pPr>
      <w:r>
        <w:rPr>
          <w:b w:val="off"/>
          <w:sz w:val="22"/>
        </w:rPr>
        <w:t>{{FINSI:CC-FORFAITAIRE}}</w:t>
      </w:r>
    </w:p>
    <w:p>
      <w:pPr>
        <w:spacing w:after="120"/>
        <w:jc w:val="both"/>
      </w:pPr>
      <w:r>
        <w:rPr>
          <w:b w:val="off"/>
          <w:sz w:val="22"/>
        </w:rPr>
        <w:t>{{SI:PAPIER}}</w:t>
      </w:r>
    </w:p>
    <w:p>
      <w:pPr>
        <w:spacing w:after="120"/>
        <w:jc w:val="both"/>
      </w:pPr>
      <w:r>
        <w:rPr>
          <w:b w:val="off"/>
          <w:sz w:val="22"/>
        </w:rPr>
        <w:t>{{NUM}} Le Dossier d’Appel d’Offres complet, rédigé en langue française, peut être consulté par tout candidat désirant prendre connaissance ou obtenir des informations à l’adresse ci-après :</w:t>
      </w:r>
    </w:p>
    <w:p>
      <w:pPr>
        <w:spacing w:after="120"/>
        <w:jc w:val="both"/>
      </w:pPr>
      <w:r>
        <w:rPr>
          <w:b w:val="off"/>
          <w:sz w:val="22"/>
        </w:rPr>
        <w:t>- Nom du Responsable : {{B04-DS-07}}</w:t>
      </w:r>
    </w:p>
    <w:p>
      <w:pPr>
        <w:spacing w:after="120"/>
        <w:jc w:val="both"/>
      </w:pPr>
      <w:r>
        <w:rPr>
          <w:b w:val="off"/>
          <w:sz w:val="22"/>
        </w:rPr>
        <w:t>- Fonction : {{B04-DS-08}}</w:t>
      </w:r>
    </w:p>
    <w:p>
      <w:pPr>
        <w:spacing w:after="120"/>
        <w:jc w:val="both"/>
      </w:pPr>
      <w:r>
        <w:rPr>
          <w:b w:val="off"/>
          <w:sz w:val="22"/>
        </w:rPr>
        <w:t>- Adresse : {{B04-DS-09}}, {{B04-DS-10}}</w:t>
      </w:r>
    </w:p>
    <w:p>
      <w:pPr>
        <w:spacing w:after="120"/>
        <w:jc w:val="both"/>
      </w:pPr>
      <w:r>
        <w:rPr>
          <w:b w:val="off"/>
          <w:sz w:val="22"/>
        </w:rPr>
        <w:t>{{SI:CONSULTATION-EMAIL}}</w:t>
      </w:r>
    </w:p>
    <w:p>
      <w:pPr>
        <w:spacing w:after="120"/>
        <w:jc w:val="both"/>
      </w:pPr>
      <w:r>
        <w:rPr>
          <w:b w:val="off"/>
          <w:sz w:val="22"/>
        </w:rPr>
        <w:t>- E-mail : {{B04-DS-11}}</w:t>
      </w:r>
    </w:p>
    <w:p>
      <w:pPr>
        <w:spacing w:after="120"/>
        <w:jc w:val="both"/>
      </w:pPr>
      <w:r>
        <w:rPr>
          <w:b w:val="off"/>
          <w:sz w:val="22"/>
        </w:rPr>
        <w:t>{{FINSI:CONSULTATION-EMAIL}}</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{{NUM}} Le Dossier d’Appel d’Offres complet, rédigé en langue française, peut être consulté par tout candidat sur la plateforme de dépôt des offres : {{B04-SE-02}}.</w:t>
      </w:r>
    </w:p>
    <w:p>
      <w:pPr>
        <w:spacing w:after="120"/>
        <w:jc w:val="both"/>
      </w:pPr>
      <w:r>
        <w:rPr>
          <w:b w:val="off"/>
          <w:sz w:val="22"/>
        </w:rPr>
        <w:t>{{FINSI:ELECTRONIQUE}}</w:t>
      </w:r>
    </w:p>
    <w:p>
      <w:pPr>
        <w:spacing w:after="120"/>
        <w:jc w:val="both"/>
      </w:pPr>
      <w:r>
        <w:rPr>
          <w:b w:val="off"/>
          <w:sz w:val="22"/>
        </w:rPr>
        <w:t>{{SI:PAPIER}}</w:t>
      </w:r>
    </w:p>
    <w:p>
      <w:pPr>
        <w:spacing w:after="120"/>
        <w:jc w:val="both"/>
      </w:pPr>
      <w:r>
        <w:rPr>
          <w:b w:val="off"/>
          <w:sz w:val="22"/>
        </w:rPr>
        <w:t>{{NUM}} Pour le (ou les) candidat(s) désirant soumissionner, le Dossier d’Appel d’Offres doit être retiré auprès de {{B01-AC-01}} moyennant le paiement d’un montant non remboursable de :</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{{NUM}} Pour le (ou les) candidat(s) désirant soumissionner, le Dossier d’Appel d’Offres est retiré sur la plateforme de dépôt des offres, une fois le reçu du versement validé, moyennant le paiement d’un montant non remboursable de :</w:t>
      </w:r>
    </w:p>
    <w:p>
      <w:pPr>
        <w:spacing w:after="120"/>
        <w:jc w:val="both"/>
      </w:pPr>
      <w:r>
        <w:rPr>
          <w:b w:val="off"/>
          <w:sz w:val="22"/>
        </w:rPr>
        <w:t>{{FINSI:ELECTRONIQUE}}</w:t>
      </w:r>
    </w:p>
    <w:p>
      <w:pPr>
        <w:spacing w:after="120"/>
        <w:jc w:val="both"/>
      </w:pPr>
      <w:r>
        <w:rPr>
          <w:b w:val="off"/>
          <w:sz w:val="22"/>
        </w:rPr>
        <w:t>{{SI:DAO-LOTS}}</w:t>
      </w:r>
    </w:p>
    <w:p>
      <w:pPr>
        <w:spacing w:after="120"/>
        <w:jc w:val="both"/>
      </w:pPr>
      <w:r>
        <w:rPr>
          <w:b w:val="off"/>
          <w:sz w:val="22"/>
        </w:rPr>
        <w:t>{{B04-DS-05.lignesParLot}}</w:t>
      </w:r>
    </w:p>
    <w:p>
      <w:pPr>
        <w:spacing w:after="120"/>
        <w:jc w:val="both"/>
      </w:pPr>
      <w:r>
        <w:rPr>
          <w:b w:val="off"/>
          <w:sz w:val="22"/>
        </w:rPr>
        <w:t>ou son équivalent en monnaie librement convertible à verser sur le compte bancaire de l’ARMP : {{PARAM.compte-dao}}.</w:t>
      </w:r>
    </w:p>
    <w:p>
      <w:pPr>
        <w:spacing w:after="120"/>
        <w:jc w:val="both"/>
      </w:pPr>
      <w:r>
        <w:rPr>
          <w:b w:val="off"/>
          <w:sz w:val="22"/>
        </w:rPr>
        <w:t>{{FINSI:DAO-LOTS}}</w:t>
      </w:r>
    </w:p>
    <w:p>
      <w:pPr>
        <w:spacing w:after="120"/>
        <w:jc w:val="both"/>
      </w:pPr>
      <w:r>
        <w:rPr>
          <w:b w:val="off"/>
          <w:sz w:val="22"/>
        </w:rPr>
        <w:t>{{SI:DAO-UNIQUE}}</w:t>
      </w:r>
    </w:p>
    <w:p>
      <w:pPr>
        <w:spacing w:after="120"/>
        <w:jc w:val="both"/>
      </w:pPr>
      <w:r>
        <w:rPr>
          <w:b w:val="off"/>
          <w:sz w:val="22"/>
        </w:rPr>
        <w:t>- {{B04-DS-05.lettres}} (Ar {{B04-DS-05.chiffres}}) ou son équivalent en monnaie librement convertible à verser sur le compte bancaire de l’ARMP : {{PARAM.compte-dao}}.</w:t>
      </w:r>
    </w:p>
    <w:p>
      <w:pPr>
        <w:spacing w:after="120"/>
        <w:jc w:val="both"/>
      </w:pPr>
      <w:r>
        <w:rPr>
          <w:b w:val="off"/>
          <w:sz w:val="22"/>
        </w:rPr>
        <w:t>{{FINSI:DAO-UNIQUE}}</w:t>
      </w:r>
    </w:p>
    <w:p>
      <w:pPr>
        <w:spacing w:after="120"/>
        <w:jc w:val="both"/>
      </w:pPr>
      <w:r>
        <w:rPr>
          <w:b w:val="off"/>
          <w:sz w:val="22"/>
        </w:rPr>
        <w:t>{{SI:PAPIER}}</w:t>
      </w:r>
    </w:p>
    <w:p>
      <w:pPr>
        <w:spacing w:after="120"/>
        <w:jc w:val="both"/>
      </w:pPr>
      <w:r>
        <w:rPr>
          <w:b w:val="off"/>
          <w:sz w:val="22"/>
        </w:rPr>
        <w:t>{{SI:ORDINAIRE}}</w:t>
      </w:r>
    </w:p>
    <w:p>
      <w:pPr>
        <w:spacing w:after="120"/>
        <w:jc w:val="both"/>
      </w:pPr>
      <w:r>
        <w:rPr>
          <w:b w:val="off"/>
          <w:sz w:val="22"/>
        </w:rPr>
        <w:t>{{NUM}} Les plis devront parvenir à {{B04-LR-02}} au plus tard le {{B04-LR-03}}, {{B04-LR-04}} et seront ouverts immédiatement après l’heure limite de remise des offres en présence des candidats ou leurs représentants qui souhaitent y assister. Les offres hors délai ne seront pas recevables.</w:t>
      </w:r>
    </w:p>
    <w:p>
      <w:pPr>
        <w:spacing w:after="120"/>
        <w:jc w:val="both"/>
      </w:pPr>
      <w:r>
        <w:rPr>
          <w:b w:val="off"/>
          <w:sz w:val="22"/>
        </w:rPr>
        <w:t>{{FINSI:ORDINAIRE}}</w:t>
      </w:r>
    </w:p>
    <w:p>
      <w:pPr>
        <w:spacing w:after="120"/>
        <w:jc w:val="both"/>
      </w:pPr>
      <w:r>
        <w:rPr>
          <w:b w:val="off"/>
          <w:sz w:val="22"/>
        </w:rPr>
        <w:t>{{SI:CC}}</w:t>
      </w:r>
    </w:p>
    <w:p>
      <w:pPr>
        <w:spacing w:after="120"/>
        <w:jc w:val="both"/>
      </w:pPr>
      <w:r>
        <w:rPr>
          <w:b w:val="off"/>
          <w:sz w:val="22"/>
        </w:rPr>
        <w:t>{{NUM}} Les plis devront parvenir à {{B04-RQ-03}} au plus tard le {{B04-CP-02.heureLocale}} et seront ouverts immédiatement après l’heure limite de remise des offres en présence des candidats ou leurs représentants qui souhaitent y assister. Les offres hors délai ne seront pas recevables.</w:t>
      </w:r>
    </w:p>
    <w:p>
      <w:pPr>
        <w:spacing w:after="120"/>
        <w:jc w:val="both"/>
      </w:pPr>
      <w:r>
        <w:rPr>
          <w:b w:val="off"/>
          <w:sz w:val="22"/>
        </w:rPr>
        <w:t>{{FINSI:CC}}</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{{SI:ORDINAIRE}}</w:t>
      </w:r>
    </w:p>
    <w:p>
      <w:pPr>
        <w:spacing w:after="120"/>
        <w:jc w:val="both"/>
      </w:pPr>
      <w:r>
        <w:rPr>
          <w:b w:val="off"/>
          <w:sz w:val="22"/>
        </w:rPr>
        <w:t>{{NUM}} Les offres sont déposées sur la plateforme de dépôt ({{B04-SE-02}}) au plus tard le {{B04-LR-03}}, {{B04-LR-04}} (heure de référence : {{B04-SE-04}}). Les offres hors délai ne sont pas recevables.</w:t>
      </w:r>
    </w:p>
    <w:p>
      <w:pPr>
        <w:spacing w:after="120"/>
        <w:jc w:val="both"/>
      </w:pPr>
      <w:r>
        <w:rPr>
          <w:b w:val="off"/>
          <w:sz w:val="22"/>
        </w:rPr>
        <w:t>{{FINSI:ORDINAIRE}}</w:t>
      </w:r>
    </w:p>
    <w:p>
      <w:pPr>
        <w:spacing w:after="120"/>
        <w:jc w:val="both"/>
      </w:pPr>
      <w:r>
        <w:rPr>
          <w:b w:val="off"/>
          <w:sz w:val="22"/>
        </w:rPr>
        <w:t>{{SI:CC}}</w:t>
      </w:r>
    </w:p>
    <w:p>
      <w:pPr>
        <w:spacing w:after="120"/>
        <w:jc w:val="both"/>
      </w:pPr>
      <w:r>
        <w:rPr>
          <w:b w:val="off"/>
          <w:sz w:val="22"/>
        </w:rPr>
        <w:t>{{NUM}} Les offres sont déposées sur la plateforme de dépôt ({{B04-SE-02}}) au plus tard le {{B04-CP-02.heureLocale}} (heure de référence : {{B04-SE-04}}). Les offres hors délai ne sont pas recevables.</w:t>
      </w:r>
    </w:p>
    <w:p>
      <w:pPr>
        <w:spacing w:after="120"/>
        <w:jc w:val="both"/>
      </w:pPr>
      <w:r>
        <w:rPr>
          <w:b w:val="off"/>
          <w:sz w:val="22"/>
        </w:rPr>
        <w:t>{{FINSI:CC}}</w:t>
      </w:r>
    </w:p>
    <w:p>
      <w:pPr>
        <w:spacing w:after="120"/>
        <w:jc w:val="both"/>
      </w:pPr>
      <w:r>
        <w:rPr>
          <w:b w:val="off"/>
          <w:sz w:val="22"/>
        </w:rPr>
        <w:t>{{SI:SE-OUVERTURE}}</w:t>
      </w:r>
    </w:p>
    <w:p>
      <w:pPr>
        <w:spacing w:after="120"/>
        <w:jc w:val="both"/>
      </w:pPr>
      <w:r>
        <w:rPr>
          <w:b w:val="off"/>
          <w:sz w:val="22"/>
        </w:rPr>
        <w:t>Les dépôts sont ouverts à compter du {{B04-SE-03}}.</w:t>
      </w:r>
    </w:p>
    <w:p>
      <w:pPr>
        <w:spacing w:after="120"/>
        <w:jc w:val="both"/>
      </w:pPr>
      <w:r>
        <w:rPr>
          <w:b w:val="off"/>
          <w:sz w:val="22"/>
        </w:rPr>
        <w:t>{{FINSI:SE-OUVERTURE}}</w:t>
      </w:r>
    </w:p>
    <w:p>
      <w:pPr>
        <w:spacing w:after="120"/>
        <w:jc w:val="both"/>
      </w:pPr>
      <w:r>
        <w:rPr>
          <w:b w:val="off"/>
          <w:sz w:val="22"/>
        </w:rPr>
        <w:t>Les offres sont ouvertes en séance, après l’heure limite de remise des offres.</w:t>
      </w:r>
    </w:p>
    <w:p>
      <w:pPr>
        <w:spacing w:after="120"/>
        <w:jc w:val="both"/>
      </w:pPr>
      <w:r>
        <w:rPr>
          <w:b w:val="off"/>
          <w:sz w:val="22"/>
        </w:rPr>
        <w:t>{{SI:OP-DELAI}}</w:t>
      </w:r>
    </w:p>
    <w:p>
      <w:pPr>
        <w:spacing w:after="120"/>
        <w:jc w:val="both"/>
      </w:pPr>
      <w:r>
        <w:rPr>
          <w:b w:val="off"/>
          <w:sz w:val="22"/>
        </w:rPr>
        <w:t>La séance d’ouverture se tient {{B04-OP-12}} minutes après l’heure limite de remise des offres.</w:t>
      </w:r>
    </w:p>
    <w:p>
      <w:pPr>
        <w:spacing w:after="120"/>
        <w:jc w:val="both"/>
      </w:pPr>
      <w:r>
        <w:rPr>
          <w:b w:val="off"/>
          <w:sz w:val="22"/>
        </w:rPr>
        <w:t>{{FINSI:OP-DELAI}}</w:t>
      </w:r>
    </w:p>
    <w:p>
      <w:pPr>
        <w:spacing w:after="120"/>
        <w:jc w:val="both"/>
      </w:pPr>
      <w:r>
        <w:rPr>
          <w:b w:val="off"/>
          <w:sz w:val="22"/>
        </w:rPr>
        <w:t>{{SI:OP-MODALITE}}</w:t>
      </w:r>
    </w:p>
    <w:p>
      <w:pPr>
        <w:spacing w:after="120"/>
        <w:jc w:val="both"/>
      </w:pPr>
      <w:r>
        <w:rPr>
          <w:b w:val="off"/>
          <w:sz w:val="22"/>
        </w:rPr>
        <w:t>Modalité de la séance : {{B04-OP-10}}.</w:t>
      </w:r>
    </w:p>
    <w:p>
      <w:pPr>
        <w:spacing w:after="120"/>
        <w:jc w:val="both"/>
      </w:pPr>
      <w:r>
        <w:rPr>
          <w:b w:val="off"/>
          <w:sz w:val="22"/>
        </w:rPr>
        <w:t>{{FINSI:OP-MODALITE}}</w:t>
      </w:r>
    </w:p>
    <w:p>
      <w:pPr>
        <w:spacing w:after="120"/>
        <w:jc w:val="both"/>
      </w:pPr>
      <w:r>
        <w:rPr>
          <w:b w:val="off"/>
          <w:sz w:val="22"/>
        </w:rPr>
        <w:t>{{SI:OP-LIEN}}</w:t>
      </w:r>
    </w:p>
    <w:p>
      <w:pPr>
        <w:spacing w:after="120"/>
        <w:jc w:val="both"/>
      </w:pPr>
      <w:r>
        <w:rPr>
          <w:b w:val="off"/>
          <w:sz w:val="22"/>
        </w:rPr>
        <w:t>Les soumissionnaires peuvent suivre la séance à l’adresse suivante : {{B04-OP-11}}.</w:t>
      </w:r>
    </w:p>
    <w:p>
      <w:pPr>
        <w:spacing w:after="120"/>
        <w:jc w:val="both"/>
      </w:pPr>
      <w:r>
        <w:rPr>
          <w:b w:val="off"/>
          <w:sz w:val="22"/>
        </w:rPr>
        <w:t>{{FINSI:OP-LIEN}}</w:t>
      </w:r>
    </w:p>
    <w:p>
      <w:pPr>
        <w:spacing w:after="120"/>
        <w:jc w:val="both"/>
      </w:pPr>
      <w:r>
        <w:rPr>
          <w:b w:val="off"/>
          <w:sz w:val="22"/>
        </w:rPr>
        <w:t>{{SI:OP-PV}}</w:t>
      </w:r>
    </w:p>
    <w:p>
      <w:pPr>
        <w:spacing w:after="120"/>
        <w:jc w:val="both"/>
      </w:pPr>
      <w:r>
        <w:rPr>
          <w:b w:val="off"/>
          <w:sz w:val="22"/>
        </w:rPr>
        <w:t>Le procès-verbal de la séance est publié sur la plateforme.</w:t>
      </w:r>
    </w:p>
    <w:p>
      <w:pPr>
        <w:spacing w:after="120"/>
        <w:jc w:val="both"/>
      </w:pPr>
      <w:r>
        <w:rPr>
          <w:b w:val="off"/>
          <w:sz w:val="22"/>
        </w:rPr>
        <w:t>{{FINSI:OP-PV}}</w:t>
      </w:r>
    </w:p>
    <w:p>
      <w:pPr>
        <w:spacing w:after="120"/>
        <w:jc w:val="both"/>
      </w:pPr>
      <w:r>
        <w:rPr>
          <w:b w:val="off"/>
          <w:sz w:val="22"/>
        </w:rPr>
        <w:t>{{FINSI:ELECTRONIQUE}}</w:t>
      </w:r>
    </w:p>
    <w:p>
      <w:pPr>
        <w:spacing w:after="120"/>
        <w:jc w:val="both"/>
      </w:pPr>
      <w:r>
        <w:rPr>
          <w:b w:val="off"/>
          <w:sz w:val="22"/>
        </w:rPr>
        <w:t>{{SI:ELECTRONIQUE}}</w:t>
      </w:r>
    </w:p>
    <w:p>
      <w:pPr>
        <w:spacing w:after="120"/>
        <w:jc w:val="both"/>
      </w:pPr>
      <w:r>
        <w:rPr>
          <w:b w:val="off"/>
          <w:sz w:val="22"/>
        </w:rPr>
        <w:t>{{NUM}} La remise des offres se fait exclusivement par voie électronique, sur la plateforme de dépôt : {{B04-SE-02}}.</w:t>
      </w:r>
    </w:p>
    <w:p>
      <w:pPr>
        <w:spacing w:after="120"/>
        <w:jc w:val="both"/>
      </w:pPr>
      <w:r>
        <w:rPr>
          <w:b w:val="off"/>
          <w:sz w:val="22"/>
        </w:rPr>
        <w:t>{{FINSI:ELECTRONIQUE}}</w:t>
      </w:r>
    </w:p>
    <w:p>
      <w:pPr>
        <w:spacing w:after="120"/>
        <w:jc w:val="both"/>
      </w:pPr>
      <w:r>
        <w:rPr>
          <w:b w:val="off"/>
          <w:sz w:val="22"/>
        </w:rPr>
        <w:t>{{SI:PAPIER}}</w:t>
      </w:r>
    </w:p>
    <w:p>
      <w:pPr>
        <w:spacing w:after="120"/>
        <w:jc w:val="both"/>
      </w:pPr>
      <w:r>
        <w:rPr>
          <w:b w:val="off"/>
          <w:sz w:val="22"/>
        </w:rPr>
        <w:t>{{NUM}} La soumission des offres par voie électronique ne sera pas autorisée.</w:t>
      </w:r>
    </w:p>
    <w:p>
      <w:pPr>
        <w:spacing w:after="120"/>
        <w:jc w:val="both"/>
      </w:pPr>
      <w:r>
        <w:rPr>
          <w:b w:val="off"/>
          <w:sz w:val="22"/>
        </w:rPr>
        <w:t>{{FINSI:PAPIER}}</w:t>
      </w:r>
    </w:p>
    <w:p>
      <w:pPr>
        <w:spacing w:after="120"/>
        <w:jc w:val="both"/>
      </w:pPr>
      <w:r>
        <w:rPr>
          <w:b w:val="off"/>
          <w:sz w:val="22"/>
        </w:rPr>
        <w:t>{{SI:GARANTIE-LOTS}}</w:t>
      </w:r>
    </w:p>
    <w:p>
      <w:pPr>
        <w:spacing w:after="120"/>
        <w:jc w:val="both"/>
      </w:pPr>
      <w:r>
        <w:rPr>
          <w:b w:val="off"/>
          <w:sz w:val="22"/>
        </w:rPr>
        <w:t>{{NUM}} Chaque offre doit être accompagnée d’une garantie de soumission d’un montant de {{B05-GS-03.parLot}}, ou son équivalent en monnaie librement convertible, elle doit être présentée sous l’une des formes suivantes : soit par caution personnelle et solidaire d’un organisme agréé par le Ministère chargée des Finances, soit par garantie bancaire, soit par chèque de banque.</w:t>
      </w:r>
    </w:p>
    <w:p>
      <w:pPr>
        <w:spacing w:after="120"/>
        <w:jc w:val="both"/>
      </w:pPr>
      <w:r>
        <w:rPr>
          <w:b w:val="off"/>
          <w:sz w:val="22"/>
        </w:rPr>
        <w:t>{{FINSI:GARANTIE-LOTS}}</w:t>
      </w:r>
    </w:p>
    <w:p>
      <w:pPr>
        <w:spacing w:after="120"/>
        <w:jc w:val="both"/>
      </w:pPr>
      <w:r>
        <w:rPr>
          <w:b w:val="off"/>
          <w:sz w:val="22"/>
        </w:rPr>
        <w:t>{{SI:GARANTIE-UNIQUE}}</w:t>
      </w:r>
    </w:p>
    <w:p>
      <w:pPr>
        <w:spacing w:after="120"/>
        <w:jc w:val="both"/>
      </w:pPr>
      <w:r>
        <w:rPr>
          <w:b w:val="off"/>
          <w:sz w:val="22"/>
        </w:rPr>
        <w:t>{{NUM}} Chaque offre doit être accompagnée d’une garantie de soumission d’un montant de {{B05-GS-03.lettres}} ({{B05-GS-03}}), ou son équivalent en monnaie librement convertible, elle doit être présentée sous l’une des formes suivantes : soit par caution personnelle et solidaire d’un organisme agréé par le Ministère chargée des Finances, soit par garantie bancaire, soit par chèque de banque.</w:t>
      </w:r>
    </w:p>
    <w:p>
      <w:pPr>
        <w:spacing w:after="120"/>
        <w:jc w:val="both"/>
      </w:pPr>
      <w:r>
        <w:rPr>
          <w:b w:val="off"/>
          <w:sz w:val="22"/>
        </w:rPr>
        <w:t>{{FINSI:GARANTIE-UNIQUE}}</w:t>
      </w:r>
    </w:p>
    <w:p>
      <w:pPr>
        <w:spacing w:after="120"/>
        <w:jc w:val="both"/>
      </w:pPr>
      <w:r>
        <w:rPr>
          <w:b w:val="off"/>
          <w:sz w:val="22"/>
        </w:rPr>
        <w:t>{{SI:SANS-GARANTIE}}</w:t>
      </w:r>
    </w:p>
    <w:p>
      <w:pPr>
        <w:spacing w:after="120"/>
        <w:jc w:val="both"/>
      </w:pPr>
      <w:r>
        <w:rPr>
          <w:b w:val="off"/>
          <w:sz w:val="22"/>
        </w:rPr>
        <w:t>{{NUM}} La garantie de soumission n’est pas requise.</w:t>
      </w:r>
    </w:p>
    <w:p>
      <w:pPr>
        <w:spacing w:after="120"/>
        <w:jc w:val="both"/>
      </w:pPr>
      <w:r>
        <w:rPr>
          <w:b w:val="off"/>
          <w:sz w:val="22"/>
        </w:rPr>
        <w:t>{{FINSI:SANS-GARANTIE}}</w:t>
      </w:r>
    </w:p>
    <w:p>
      <w:pPr>
        <w:spacing w:after="120"/>
        <w:jc w:val="both"/>
      </w:pPr>
      <w:r>
        <w:rPr>
          <w:b w:val="off"/>
          <w:sz w:val="22"/>
        </w:rPr>
        <w:t>{{SI:CC}}</w:t>
      </w:r>
    </w:p>
    <w:p>
      <w:pPr>
        <w:spacing w:after="120"/>
        <w:jc w:val="both"/>
      </w:pPr>
      <w:r>
        <w:rPr>
          <w:b w:val="off"/>
          <w:sz w:val="22"/>
        </w:rPr>
        <w:t>{{NUM}} Les titulaires du contrat-cadre issu du présent appel d’offres seront ultérieurement invités à participer à la passation des marchés subséquents.</w:t>
      </w:r>
    </w:p>
    <w:p>
      <w:pPr>
        <w:spacing w:after="120"/>
        <w:jc w:val="both"/>
      </w:pPr>
      <w:r>
        <w:rPr>
          <w:b w:val="off"/>
          <w:sz w:val="22"/>
        </w:rPr>
        <w:t>{{FINSI:CC}}</w:t>
      </w:r>
    </w:p>
    <w:p>
      <w:pPr>
        <w:spacing w:after="120"/>
        <w:jc w:val="both"/>
      </w:pPr>
      <w:r>
        <w:rPr>
          <w:b w:val="off"/>
          <w:sz w:val="22"/>
        </w:rPr>
        <w:t>à {{B04-DS-10}}, le {{AVIS.date-publication}}</w:t>
      </w:r>
    </w:p>
    <w:p>
      <w:pPr>
        <w:spacing w:after="120"/>
        <w:jc w:val="both"/>
      </w:pPr>
      <w:r>
        <w:rPr>
          <w:b w:val="off"/>
          <w:sz w:val="22"/>
        </w:rPr>
        <w:t>La Personne Responsable des Marchés Publics</w:t>
      </w:r>
    </w:p>
    <w:p>
      <w:pPr>
        <w:spacing w:after="120"/>
        <w:jc w:val="both"/>
      </w:pPr>
      <w:r>
        <w:rPr>
          <w:b w:val="off"/>
          <w:sz w:val="22"/>
        </w:rPr>
        <w:t>{{B01-AC-05}}</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2026-10-18T16:47:47Z</dcterms:created>
  <dc:creator>Apache POI</dc:creator>
</cp:coreProperties>
</file>