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40"/>
        <w:jc w:val="center"/>
      </w:pPr>
      <w:r>
        <w:rPr>
          <w:b w:val="on"/>
          <w:sz w:val="26"/>
        </w:rPr>
        <w:t>DONNEES PARTICULIERES D’APPEL A CONCURRENCE</w:t>
      </w:r>
    </w:p>
    <w:p>
      <w:pPr>
        <w:spacing w:after="120"/>
        <w:jc w:val="center"/>
      </w:pPr>
      <w:r>
        <w:rPr>
          <w:b w:val="off"/>
          <w:sz w:val="22"/>
        </w:rPr>
        <w:t>{{B01-AC-01}}</w:t>
      </w:r>
    </w:p>
    <w:p>
      <w:pPr>
        <w:spacing w:after="120"/>
        <w:jc w:val="center"/>
      </w:pPr>
      <w:r>
        <w:rPr>
          <w:b w:val="off"/>
          <w:sz w:val="22"/>
        </w:rPr>
        <w:t>{{B01-AC-02}}</w:t>
      </w:r>
    </w:p>
    <w:p>
      <w:pPr>
        <w:spacing w:after="120"/>
        <w:jc w:val="center"/>
      </w:pPr>
      <w:r>
        <w:rPr>
          <w:b w:val="off"/>
          <w:sz w:val="22"/>
        </w:rPr>
        <w:t>Personne responsable des marchés publics : {{B01-AC-05}}</w:t>
      </w:r>
    </w:p>
    <w:p>
      <w:pPr>
        <w:spacing w:after="120"/>
        <w:jc w:val="center"/>
      </w:pPr>
      <w:r>
        <w:rPr>
          <w:b w:val="off"/>
          <w:sz w:val="22"/>
        </w:rPr>
        <w:t>Courriel : {{B01-AC-06}} – Téléphone : {{B01-AC-07}}</w:t>
      </w:r>
    </w:p>
    <w:p>
      <w:pPr>
        <w:spacing w:after="120"/>
        <w:jc w:val="both"/>
      </w:pPr>
      <w:r>
        <w:rPr>
          <w:b w:val="off"/>
          <w:sz w:val="22"/>
        </w:rPr>
        <w:t>MARCHE DE : {{B01-AC-12}}</w:t>
      </w:r>
    </w:p>
    <w:p>
      <w:pPr>
        <w:spacing w:after="120"/>
        <w:jc w:val="both"/>
      </w:pPr>
      <w:r>
        <w:rPr>
          <w:b w:val="off"/>
          <w:sz w:val="22"/>
        </w:rPr>
        <w:t>NUMÉRO : {{B02-OE-01}}</w:t>
      </w:r>
    </w:p>
    <w:p>
      <w:pPr>
        <w:spacing w:after="120"/>
        <w:jc w:val="both"/>
      </w:pPr>
      <w:r>
        <w:rPr>
          <w:b w:val="off"/>
          <w:sz w:val="22"/>
        </w:rPr>
        <w:t>OBJET DU CONTRAT-CADRE: {{B02-OB-01}}</w:t>
      </w:r>
    </w:p>
    <w:p>
      <w:pPr>
        <w:spacing w:after="120"/>
        <w:jc w:val="both"/>
      </w:pPr>
      <w:r>
        <w:rPr>
          <w:b w:val="off"/>
          <w:sz w:val="22"/>
        </w:rPr>
        <w:t>{{SI:CCAG-FOURNITURES}}</w:t>
      </w:r>
    </w:p>
    <w:p>
      <w:pPr>
        <w:spacing w:after="120"/>
        <w:jc w:val="center"/>
      </w:pPr>
      <w:r>
        <w:rPr>
          <w:b w:val="off"/>
          <w:sz w:val="22"/>
        </w:rPr>
        <w:t>REGLEMENT DE LA CONSULTATION(1) (contrat-cadre marché de fournitures et services)</w:t>
      </w:r>
    </w:p>
    <w:p>
      <w:pPr>
        <w:spacing w:after="120"/>
        <w:jc w:val="both"/>
      </w:pPr>
      <w:r>
        <w:rPr>
          <w:b w:val="off"/>
          <w:sz w:val="22"/>
        </w:rPr>
        <w:t>{{FINSI:CCAG-FOURNITURES}}</w:t>
      </w:r>
    </w:p>
    <w:p>
      <w:pPr>
        <w:spacing w:after="120"/>
        <w:jc w:val="both"/>
      </w:pPr>
      <w:r>
        <w:rPr>
          <w:b w:val="off"/>
          <w:sz w:val="22"/>
        </w:rPr>
        <w:t>{{SI:CCAG-TRAVAUX}}</w:t>
      </w:r>
    </w:p>
    <w:p>
      <w:pPr>
        <w:spacing w:after="120"/>
        <w:jc w:val="center"/>
      </w:pPr>
      <w:r>
        <w:rPr>
          <w:b w:val="off"/>
          <w:sz w:val="22"/>
        </w:rPr>
        <w:t>REGLEMENT DE LA CONSULTATION(1) (contrat-cadre)</w:t>
      </w:r>
    </w:p>
    <w:p>
      <w:pPr>
        <w:spacing w:after="120"/>
        <w:jc w:val="both"/>
      </w:pPr>
      <w:r>
        <w:rPr>
          <w:b w:val="off"/>
          <w:sz w:val="22"/>
        </w:rPr>
        <w:t>{{FINSI:CCAG-TRAVAUX}}</w:t>
      </w:r>
    </w:p>
    <w:p>
      <w:pPr>
        <w:spacing w:after="120"/>
        <w:jc w:val="both"/>
      </w:pPr>
      <w:r>
        <w:rPr>
          <w:b w:val="off"/>
          <w:sz w:val="22"/>
        </w:rPr>
        <w:t>PROCEDURE DE CONSULTATION (1) : {{B01-AC-13}}</w:t>
      </w:r>
    </w:p>
    <w:p>
      <w:pPr>
        <w:spacing w:after="120"/>
        <w:jc w:val="both"/>
      </w:pPr>
      <w:r>
        <w:rPr>
          <w:b w:val="off"/>
          <w:sz w:val="22"/>
        </w:rPr>
        <w:t>REPRESENTANT DE L’AUTORITÉ CONTRACTANTE : {{B01-AC-05}}</w:t>
      </w:r>
    </w:p>
    <w:p>
      <w:pPr>
        <w:spacing w:after="120"/>
        <w:jc w:val="both"/>
      </w:pPr>
      <w:r>
        <w:rPr>
          <w:b w:val="off"/>
          <w:sz w:val="22"/>
        </w:rPr>
        <w:t>DATE ET HEURE LIMITES DE REMISE DES OFFRES : {{B04-CP-02}}</w:t>
      </w:r>
    </w:p>
    <w:p>
      <w:pPr>
        <w:spacing w:after="160"/>
        <w:jc w:val="left"/>
      </w:pPr>
      <w:r>
        <w:rPr>
          <w:b w:val="on"/>
          <w:sz w:val="22"/>
        </w:rPr>
        <w:t>ARTICLE 1 : OBJET ET ETENDUE DU CONTRAT-CADRE</w:t>
      </w:r>
    </w:p>
    <w:p>
      <w:pPr>
        <w:spacing w:after="160"/>
        <w:jc w:val="left"/>
      </w:pPr>
      <w:r>
        <w:rPr>
          <w:b w:val="on"/>
          <w:sz w:val="22"/>
        </w:rPr>
        <w:t>Objet du contrat-cadre</w:t>
      </w:r>
    </w:p>
    <w:p>
      <w:pPr>
        <w:spacing w:after="120"/>
        <w:jc w:val="both"/>
      </w:pPr>
      <w:r>
        <w:rPr>
          <w:b w:val="off"/>
          <w:sz w:val="22"/>
        </w:rPr>
        <w:t>Le présent contrat-cadre a pour objet de définir les termes régissant les marchés à passer pendant la période précisée à l’article suivant.</w:t>
      </w:r>
    </w:p>
    <w:p>
      <w:pPr>
        <w:spacing w:after="120"/>
        <w:jc w:val="both"/>
      </w:pPr>
      <w:r>
        <w:rPr>
          <w:b w:val="off"/>
          <w:sz w:val="22"/>
        </w:rPr>
        <w:t>Il porte sur: {{B02-OB-01}}. Les détails des besoins à couvrir sont présentés dans le cahier des charges (annexe 1 au contrat-cadre).</w:t>
      </w:r>
    </w:p>
    <w:p>
      <w:pPr>
        <w:spacing w:after="160"/>
        <w:jc w:val="left"/>
      </w:pPr>
      <w:r>
        <w:rPr>
          <w:b w:val="on"/>
          <w:sz w:val="22"/>
        </w:rPr>
        <w:t>Procédure de mise en concurrence</w:t>
      </w:r>
    </w:p>
    <w:p>
      <w:pPr>
        <w:spacing w:after="120"/>
        <w:jc w:val="both"/>
      </w:pPr>
      <w:r>
        <w:rPr>
          <w:b w:val="off"/>
          <w:sz w:val="22"/>
        </w:rPr>
        <w:t>{{SI:MONO}}</w:t>
      </w:r>
    </w:p>
    <w:p>
      <w:pPr>
        <w:spacing w:after="120"/>
        <w:jc w:val="both"/>
      </w:pPr>
      <w:r>
        <w:rPr>
          <w:b w:val="off"/>
          <w:sz w:val="22"/>
        </w:rPr>
        <w:t>La présente consultation en vue de l’attribution du contrat-cadre à un seul titulaire (mono-attributaire) est passée selon la procédure {{B01-AC-13}} en application de l’article {{B02-PC-01}} du code des marchés publics.</w:t>
      </w:r>
    </w:p>
    <w:p>
      <w:pPr>
        <w:spacing w:after="120"/>
        <w:jc w:val="both"/>
      </w:pPr>
      <w:r>
        <w:rPr>
          <w:b w:val="off"/>
          <w:sz w:val="22"/>
        </w:rPr>
        <w:t>{{FINSI:MONO}}</w:t>
      </w:r>
    </w:p>
    <w:p>
      <w:pPr>
        <w:spacing w:after="120"/>
        <w:jc w:val="both"/>
      </w:pPr>
      <w:r>
        <w:rPr>
          <w:b w:val="off"/>
          <w:sz w:val="22"/>
        </w:rPr>
        <w:t>{{SI:MULTI}}</w:t>
      </w:r>
    </w:p>
    <w:p>
      <w:pPr>
        <w:spacing w:after="120"/>
        <w:jc w:val="both"/>
      </w:pPr>
      <w:r>
        <w:rPr>
          <w:b w:val="off"/>
          <w:sz w:val="22"/>
        </w:rPr>
        <w:t>La présente consultation en vue de l’attribution du contrat-cadre à plusieurs titulaires (multi attributaire) est passée selon la procédure {{B01-AC-13}} en application de l’article {{B02-PC-01}} du code des marchés publics.</w:t>
      </w:r>
    </w:p>
    <w:p>
      <w:pPr>
        <w:spacing w:after="120"/>
        <w:jc w:val="both"/>
      </w:pPr>
      <w:r>
        <w:rPr>
          <w:b w:val="off"/>
          <w:sz w:val="22"/>
        </w:rPr>
        <w:t>{{FINSI:MULTI}}</w:t>
      </w:r>
    </w:p>
    <w:p>
      <w:pPr>
        <w:spacing w:after="120"/>
        <w:jc w:val="both"/>
      </w:pPr>
      <w:r>
        <w:rPr>
          <w:b w:val="off"/>
          <w:sz w:val="22"/>
        </w:rPr>
        <w:t>{{SI:RC-BESOIN}}</w:t>
      </w:r>
    </w:p>
    <w:p>
      <w:pPr>
        <w:spacing w:after="120"/>
        <w:jc w:val="both"/>
      </w:pPr>
      <w:r>
        <w:rPr>
          <w:b w:val="off"/>
          <w:sz w:val="22"/>
        </w:rPr>
        <w:t>Les attributaires issus de la présente procédure deviennent titulaires du contrat-cadre et seront remis en compétition au fur et à mesure des besoins, pour l’attribution des marchés subséquents au contrat-cadre.</w:t>
      </w:r>
    </w:p>
    <w:p>
      <w:pPr>
        <w:spacing w:after="120"/>
        <w:jc w:val="both"/>
      </w:pPr>
      <w:r>
        <w:rPr>
          <w:b w:val="off"/>
          <w:sz w:val="22"/>
        </w:rPr>
        <w:t>{{FINSI:RC-BESOIN}}</w:t>
      </w:r>
    </w:p>
    <w:p>
      <w:pPr>
        <w:spacing w:after="120"/>
        <w:jc w:val="both"/>
      </w:pPr>
      <w:r>
        <w:rPr>
          <w:b w:val="off"/>
          <w:sz w:val="22"/>
        </w:rPr>
        <w:t>{{SI:RC-CALENDRIER}}</w:t>
      </w:r>
    </w:p>
    <w:p>
      <w:pPr>
        <w:spacing w:after="120"/>
        <w:jc w:val="both"/>
      </w:pPr>
      <w:r>
        <w:rPr>
          <w:b w:val="off"/>
          <w:sz w:val="22"/>
        </w:rPr>
        <w:t>Les attributaires issus de la présente procédure deviennent titulaires du contrat-cadre et seront remis en compétition selon le calendrier fixé ci-après, pour l’attribution des marchés subséquents au contrat-cadre.</w:t>
      </w:r>
    </w:p>
    <w:p>
      <w:pPr>
        <w:spacing w:after="120"/>
        <w:jc w:val="both"/>
      </w:pPr>
      <w:r>
        <w:rPr>
          <w:b w:val="off"/>
          <w:sz w:val="22"/>
        </w:rPr>
        <w:t>{{B02-PC-03}}</w:t>
      </w:r>
    </w:p>
    <w:p>
      <w:pPr>
        <w:spacing w:after="120"/>
        <w:jc w:val="both"/>
      </w:pPr>
      <w:r>
        <w:rPr>
          <w:b w:val="off"/>
          <w:sz w:val="22"/>
        </w:rPr>
        <w:t>{{FINSI:RC-CALENDRIER}}</w:t>
      </w:r>
    </w:p>
    <w:p>
      <w:pPr>
        <w:spacing w:after="120"/>
        <w:jc w:val="both"/>
      </w:pPr>
      <w:r>
        <w:rPr>
          <w:b w:val="off"/>
          <w:sz w:val="22"/>
        </w:rPr>
        <w:t>Les marchés subséquents issus du présent contrat-cadre seront attribués dans les conditions du présent document.</w:t>
      </w:r>
    </w:p>
    <w:p>
      <w:pPr>
        <w:spacing w:after="160"/>
        <w:jc w:val="left"/>
      </w:pPr>
      <w:r>
        <w:rPr>
          <w:b w:val="on"/>
          <w:sz w:val="22"/>
        </w:rPr>
        <w:t>ARTICLE 2 : DISPOSITIONS GENERALES</w:t>
      </w:r>
    </w:p>
    <w:p>
      <w:pPr>
        <w:spacing w:after="160"/>
        <w:jc w:val="left"/>
      </w:pPr>
      <w:r>
        <w:rPr>
          <w:b w:val="on"/>
          <w:sz w:val="22"/>
        </w:rPr>
        <w:t>Forme du contrat</w:t>
      </w:r>
    </w:p>
    <w:p>
      <w:pPr>
        <w:spacing w:after="120"/>
        <w:jc w:val="both"/>
      </w:pPr>
      <w:r>
        <w:rPr>
          <w:b w:val="off"/>
          <w:sz w:val="22"/>
        </w:rPr>
        <w:t>{{SI:PRIX-UNITAIRES}}</w:t>
      </w:r>
    </w:p>
    <w:p>
      <w:pPr>
        <w:spacing w:after="120"/>
        <w:jc w:val="both"/>
      </w:pPr>
      <w:r>
        <w:rPr>
          <w:b w:val="off"/>
          <w:sz w:val="22"/>
        </w:rPr>
        <w:t>Le contrat-cadre est conclu à prix unitaires.</w:t>
      </w:r>
    </w:p>
    <w:p>
      <w:pPr>
        <w:spacing w:after="120"/>
        <w:jc w:val="both"/>
      </w:pPr>
      <w:r>
        <w:rPr>
          <w:b w:val="off"/>
          <w:sz w:val="22"/>
        </w:rPr>
        <w:t>{{FINSI:PRIX-UNITAIRES}}</w:t>
      </w:r>
    </w:p>
    <w:p>
      <w:pPr>
        <w:spacing w:after="120"/>
        <w:jc w:val="both"/>
      </w:pPr>
      <w:r>
        <w:rPr>
          <w:b w:val="off"/>
          <w:sz w:val="22"/>
        </w:rPr>
        <w:t>{{SI:PRIX-FORFAITAIRE}}</w:t>
      </w:r>
    </w:p>
    <w:p>
      <w:pPr>
        <w:spacing w:after="120"/>
        <w:jc w:val="both"/>
      </w:pPr>
      <w:r>
        <w:rPr>
          <w:b w:val="off"/>
          <w:sz w:val="22"/>
        </w:rPr>
        <w:t>Le contrat-cadre est conclu à prix forfaitaires.</w:t>
      </w:r>
    </w:p>
    <w:p>
      <w:pPr>
        <w:spacing w:after="120"/>
        <w:jc w:val="both"/>
      </w:pPr>
      <w:r>
        <w:rPr>
          <w:b w:val="off"/>
          <w:sz w:val="22"/>
        </w:rPr>
        <w:t>{{FINSI:PRIX-FORFAITAIRE}}</w:t>
      </w:r>
    </w:p>
    <w:p>
      <w:pPr>
        <w:spacing w:after="160"/>
        <w:jc w:val="left"/>
      </w:pPr>
      <w:r>
        <w:rPr>
          <w:b w:val="on"/>
          <w:sz w:val="22"/>
        </w:rPr>
        <w:t>Montant du contrat</w:t>
      </w:r>
    </w:p>
    <w:p>
      <w:pPr>
        <w:spacing w:after="120"/>
        <w:jc w:val="both"/>
      </w:pPr>
      <w:r>
        <w:rPr>
          <w:b w:val="off"/>
          <w:sz w:val="22"/>
        </w:rPr>
        <w:t>Le montant du Contrat est estimé à {{B05-MT-01.chiffres}} Ariary HT (hors taxes) sur la durée totale du contrat (reconductions comprises).</w:t>
      </w:r>
    </w:p>
    <w:p>
      <w:pPr>
        <w:spacing w:after="160"/>
        <w:jc w:val="left"/>
      </w:pPr>
      <w:r>
        <w:rPr>
          <w:b w:val="on"/>
          <w:sz w:val="22"/>
        </w:rPr>
        <w:t>Durée du contrat</w:t>
      </w:r>
    </w:p>
    <w:p>
      <w:pPr>
        <w:spacing w:after="120"/>
        <w:jc w:val="both"/>
      </w:pPr>
      <w:r>
        <w:rPr>
          <w:b w:val="off"/>
          <w:sz w:val="22"/>
        </w:rPr>
        <w:t>La durée de validité du Contrat est de {{B02-DC-01}} mois (maximum reconductions comprises) à compter de sa date de notification. Le contrat est conclu pour une première période de validité de {{B02-DC-02}} mois à compter de sa date de notification.</w:t>
      </w:r>
    </w:p>
    <w:p>
      <w:pPr>
        <w:spacing w:after="120"/>
        <w:jc w:val="both"/>
      </w:pPr>
      <w:r>
        <w:rPr>
          <w:b w:val="off"/>
          <w:sz w:val="22"/>
        </w:rPr>
        <w:t>{{SI:RECONDUCTIBLE}}</w:t>
      </w:r>
    </w:p>
    <w:p>
      <w:pPr>
        <w:spacing w:after="120"/>
        <w:jc w:val="both"/>
      </w:pPr>
      <w:r>
        <w:rPr>
          <w:b w:val="off"/>
          <w:sz w:val="22"/>
        </w:rPr>
        <w:t>Cette période de validité peut être reconduite {{B02-DC-04}}</w:t>
      </w:r>
    </w:p>
    <w:p>
      <w:pPr>
        <w:spacing w:after="120"/>
        <w:jc w:val="both"/>
      </w:pPr>
      <w:r>
        <w:rPr>
          <w:b w:val="off"/>
          <w:sz w:val="22"/>
        </w:rPr>
        <w:t>{{FINSI:RECONDUCTIBLE}}</w:t>
      </w:r>
    </w:p>
    <w:p>
      <w:pPr>
        <w:spacing w:after="120"/>
        <w:jc w:val="both"/>
      </w:pPr>
      <w:r>
        <w:rPr>
          <w:b w:val="off"/>
          <w:sz w:val="22"/>
        </w:rPr>
        <w:t>{{SI:NON-RECONDUCTIBLE}}</w:t>
      </w:r>
    </w:p>
    <w:p>
      <w:pPr>
        <w:spacing w:after="120"/>
        <w:jc w:val="both"/>
      </w:pPr>
      <w:r>
        <w:rPr>
          <w:b w:val="off"/>
          <w:sz w:val="22"/>
        </w:rPr>
        <w:t>La période de validité du contrat n’est pas reconductible.</w:t>
      </w:r>
    </w:p>
    <w:p>
      <w:pPr>
        <w:spacing w:after="120"/>
        <w:jc w:val="both"/>
      </w:pPr>
      <w:r>
        <w:rPr>
          <w:b w:val="off"/>
          <w:sz w:val="22"/>
        </w:rPr>
        <w:t>{{FINSI:NON-RECONDUCTIBLE}}</w:t>
      </w:r>
    </w:p>
    <w:p>
      <w:pPr>
        <w:spacing w:after="160"/>
        <w:jc w:val="left"/>
      </w:pPr>
      <w:r>
        <w:rPr>
          <w:b w:val="on"/>
          <w:sz w:val="22"/>
        </w:rPr>
        <w:t>Allotissement</w:t>
      </w:r>
    </w:p>
    <w:p>
      <w:pPr>
        <w:spacing w:after="120"/>
        <w:jc w:val="both"/>
      </w:pPr>
      <w:r>
        <w:rPr>
          <w:b w:val="off"/>
          <w:sz w:val="22"/>
        </w:rPr>
        <w:t>{{SI:ALLOTI}}</w:t>
      </w:r>
    </w:p>
    <w:p>
      <w:pPr>
        <w:spacing w:after="120"/>
        <w:jc w:val="both"/>
      </w:pPr>
      <w:r>
        <w:rPr>
          <w:b w:val="off"/>
          <w:sz w:val="22"/>
        </w:rPr>
        <w:t>{{B02-AL-02}}</w:t>
      </w:r>
    </w:p>
    <w:p>
      <w:pPr>
        <w:spacing w:after="120"/>
        <w:jc w:val="both"/>
      </w:pPr>
      <w:r>
        <w:rPr>
          <w:b w:val="off"/>
          <w:sz w:val="22"/>
        </w:rPr>
        <w:t>{{FINSI:ALLOTI}}</w:t>
      </w:r>
    </w:p>
    <w:p>
      <w:pPr>
        <w:spacing w:after="120"/>
        <w:jc w:val="both"/>
      </w:pPr>
      <w:r>
        <w:rPr>
          <w:b w:val="off"/>
          <w:sz w:val="22"/>
        </w:rPr>
        <w:t>{{SI:NON-ALLOTI}}</w:t>
      </w:r>
    </w:p>
    <w:p>
      <w:pPr>
        <w:spacing w:after="120"/>
        <w:jc w:val="both"/>
      </w:pPr>
      <w:r>
        <w:rPr>
          <w:b w:val="off"/>
          <w:sz w:val="22"/>
        </w:rPr>
        <w:t>Sans objet.</w:t>
      </w:r>
    </w:p>
    <w:p>
      <w:pPr>
        <w:spacing w:after="120"/>
        <w:jc w:val="both"/>
      </w:pPr>
      <w:r>
        <w:rPr>
          <w:b w:val="off"/>
          <w:sz w:val="22"/>
        </w:rPr>
        <w:t>{{FINSI:NON-ALLOTI}}</w:t>
      </w:r>
    </w:p>
    <w:p>
      <w:pPr>
        <w:spacing w:after="160"/>
        <w:jc w:val="left"/>
      </w:pPr>
      <w:r>
        <w:rPr>
          <w:b w:val="on"/>
          <w:sz w:val="22"/>
        </w:rPr>
        <w:t>Calendrier prévisionnel de la consultation (1) (à titre indicatif)</w:t>
      </w:r>
    </w:p>
    <w:tbl>
      <w:tblPr>
        <w:tblW w:w="5000" w:type="pct"/>
        <w:tblBorders>
          <w:top w:val="single"/>
          <w:left w:val="single"/>
          <w:bottom w:val="single"/>
          <w:right w:val="single"/>
          <w:insideH w:val="single"/>
          <w:insideV w:val="single"/>
        </w:tblBorders>
      </w:tblPr>
      <w:tr>
        <w:tc>
          <w:tcPr>
            <w:tcW w:type="pct" w:w="2500"/>
          </w:tcPr>
          <w:p>
            <w:r>
              <w:rPr>
                <w:sz w:val="20"/>
              </w:rPr>
              <w:t>Date estimative</w:t>
            </w:r>
          </w:p>
        </w:tc>
        <w:tc>
          <w:tcPr>
            <w:tcW w:type="pct" w:w="2500"/>
          </w:tcPr>
          <w:p>
            <w:r>
              <w:rPr>
                <w:sz w:val="20"/>
              </w:rPr>
              <w:t>Etape</w:t>
            </w:r>
          </w:p>
        </w:tc>
      </w:tr>
      <w:tr>
        <w:tc>
          <w:tcPr>
            <w:tcW w:type="pct" w:w="2500"/>
          </w:tcPr>
          <w:p>
            <w:r>
              <w:rPr>
                <w:sz w:val="20"/>
              </w:rPr>
              <w:t>{{B04-CP-02}}</w:t>
            </w:r>
          </w:p>
        </w:tc>
        <w:tc>
          <w:tcPr>
            <w:tcW w:type="pct" w:w="2500"/>
          </w:tcPr>
          <w:p>
            <w:r>
              <w:rPr>
                <w:sz w:val="20"/>
              </w:rPr>
              <w:t>Date limite de réception des offres</w:t>
            </w:r>
          </w:p>
        </w:tc>
      </w:tr>
      <w:tr>
        <w:tc>
          <w:tcPr>
            <w:tcW w:type="pct" w:w="2500"/>
          </w:tcPr>
          <w:p>
            <w:r>
              <w:rPr>
                <w:sz w:val="20"/>
              </w:rPr>
              <w:t>{{B04-CP-06}}</w:t>
            </w:r>
          </w:p>
        </w:tc>
        <w:tc>
          <w:tcPr>
            <w:tcW w:type="pct" w:w="2500"/>
          </w:tcPr>
          <w:p>
            <w:r>
              <w:rPr>
                <w:sz w:val="20"/>
              </w:rPr>
              <w:t>Envoi des demandes d’offres optimisées</w:t>
            </w:r>
          </w:p>
        </w:tc>
      </w:tr>
      <w:tr>
        <w:tc>
          <w:tcPr>
            <w:tcW w:type="pct" w:w="2500"/>
          </w:tcPr>
          <w:p>
            <w:r>
              <w:rPr>
                <w:sz w:val="20"/>
              </w:rPr>
              <w:t>{{B04-CP-07}}</w:t>
            </w:r>
          </w:p>
        </w:tc>
        <w:tc>
          <w:tcPr>
            <w:tcW w:type="pct" w:w="2500"/>
          </w:tcPr>
          <w:p>
            <w:r>
              <w:rPr>
                <w:sz w:val="20"/>
              </w:rPr>
              <w:t>Date limite de réception des offres optimisées</w:t>
            </w:r>
          </w:p>
        </w:tc>
      </w:tr>
      <w:tr>
        <w:tc>
          <w:tcPr>
            <w:tcW w:type="pct" w:w="2500"/>
          </w:tcPr>
          <w:p>
            <w:r>
              <w:rPr>
                <w:sz w:val="20"/>
              </w:rPr>
              <w:t>{{B04-CP-08}}</w:t>
            </w:r>
          </w:p>
        </w:tc>
        <w:tc>
          <w:tcPr>
            <w:tcW w:type="pct" w:w="2500"/>
          </w:tcPr>
          <w:p>
            <w:r>
              <w:rPr>
                <w:sz w:val="20"/>
              </w:rPr>
              <w:t>Envoi des courriers de rejet aux candidats non retenus</w:t>
            </w:r>
          </w:p>
        </w:tc>
      </w:tr>
    </w:tbl>
    <w:p/>
    <w:p>
      <w:pPr>
        <w:spacing w:after="120"/>
        <w:jc w:val="both"/>
      </w:pPr>
      <w:r>
        <w:rPr>
          <w:b w:val="off"/>
          <w:sz w:val="22"/>
        </w:rPr>
        <w:t>La date prévisionnelle de notification du contrat-cadre est fixée à {{B04-CP-05}}.</w:t>
      </w:r>
    </w:p>
    <w:p>
      <w:pPr>
        <w:spacing w:after="160"/>
        <w:jc w:val="left"/>
      </w:pPr>
      <w:r>
        <w:rPr>
          <w:b w:val="on"/>
          <w:sz w:val="22"/>
        </w:rPr>
        <w:t>ARTICLE 3 : DOSSIER DE CONSULTATION (1)</w:t>
      </w:r>
    </w:p>
    <w:p>
      <w:pPr>
        <w:spacing w:after="160"/>
        <w:jc w:val="left"/>
      </w:pPr>
      <w:r>
        <w:rPr>
          <w:b w:val="on"/>
          <w:sz w:val="22"/>
        </w:rPr>
        <w:t>3.1.Contenu du dossier de consultation (1)</w:t>
      </w:r>
    </w:p>
    <w:p>
      <w:pPr>
        <w:spacing w:after="120"/>
        <w:jc w:val="both"/>
      </w:pPr>
      <w:r>
        <w:rPr>
          <w:b w:val="off"/>
          <w:sz w:val="22"/>
        </w:rPr>
        <w:t>Le dossier de consultation(1) contient les pièces suivantes :</w:t>
      </w:r>
    </w:p>
    <w:p>
      <w:pPr>
        <w:spacing w:after="120"/>
        <w:jc w:val="both"/>
      </w:pPr>
      <w:r>
        <w:rPr>
          <w:b w:val="off"/>
          <w:sz w:val="22"/>
        </w:rPr>
        <w:t>-L'avis d'appel public à la concurrence</w:t>
      </w:r>
    </w:p>
    <w:p>
      <w:pPr>
        <w:spacing w:after="120"/>
        <w:jc w:val="both"/>
      </w:pPr>
      <w:r>
        <w:rPr>
          <w:b w:val="off"/>
          <w:sz w:val="22"/>
        </w:rPr>
        <w:t>-Le présent Règlement de la consultation (1) et (éventuellement) son annexe;</w:t>
      </w:r>
    </w:p>
    <w:p>
      <w:pPr>
        <w:spacing w:after="120"/>
        <w:jc w:val="both"/>
      </w:pPr>
      <w:r>
        <w:rPr>
          <w:b w:val="off"/>
          <w:sz w:val="22"/>
        </w:rPr>
        <w:t>- La lettre de soumission du candidat</w:t>
      </w:r>
    </w:p>
    <w:p>
      <w:pPr>
        <w:spacing w:after="120"/>
        <w:jc w:val="both"/>
      </w:pPr>
      <w:r>
        <w:rPr>
          <w:b w:val="off"/>
          <w:sz w:val="22"/>
        </w:rPr>
        <w:t>-Le projet de contrat-cadre et ses annexes, notamment :</w:t>
      </w:r>
    </w:p>
    <w:p>
      <w:pPr>
        <w:spacing w:after="120"/>
        <w:jc w:val="both"/>
      </w:pPr>
      <w:r>
        <w:rPr>
          <w:b w:val="off"/>
          <w:sz w:val="22"/>
        </w:rPr>
        <w:t>les actes d'engagement (AE) et leurs annexes</w:t>
      </w:r>
    </w:p>
    <w:p>
      <w:pPr>
        <w:spacing w:after="120"/>
        <w:jc w:val="both"/>
      </w:pPr>
      <w:r>
        <w:rPr>
          <w:b w:val="off"/>
          <w:sz w:val="22"/>
        </w:rPr>
        <w:t>le cahier des clauses administratives particulières (CCAP)</w:t>
      </w:r>
    </w:p>
    <w:p>
      <w:pPr>
        <w:spacing w:after="120"/>
        <w:jc w:val="both"/>
      </w:pPr>
      <w:r>
        <w:rPr>
          <w:b w:val="off"/>
          <w:sz w:val="22"/>
        </w:rPr>
        <w:t>le document portant clauses techniques particulières ou son équivalent, et ses annexes</w:t>
      </w:r>
    </w:p>
    <w:p>
      <w:pPr>
        <w:spacing w:after="120"/>
        <w:jc w:val="both"/>
      </w:pPr>
      <w:r>
        <w:rPr>
          <w:b w:val="off"/>
          <w:sz w:val="22"/>
        </w:rPr>
        <w:t>{{B04-DS-01}}</w:t>
      </w:r>
    </w:p>
    <w:p>
      <w:pPr>
        <w:spacing w:after="160"/>
        <w:jc w:val="left"/>
      </w:pPr>
      <w:r>
        <w:rPr>
          <w:b w:val="on"/>
          <w:sz w:val="22"/>
        </w:rPr>
        <w:t>3.2.Langue de rédaction du dossier de consultation (1)</w:t>
      </w:r>
    </w:p>
    <w:p>
      <w:pPr>
        <w:spacing w:after="120"/>
        <w:jc w:val="both"/>
      </w:pPr>
      <w:r>
        <w:rPr>
          <w:b w:val="off"/>
          <w:sz w:val="22"/>
        </w:rPr>
        <w:t>{{SI:PAPIER}}</w:t>
      </w:r>
    </w:p>
    <w:p>
      <w:pPr>
        <w:spacing w:after="120"/>
        <w:jc w:val="both"/>
      </w:pPr>
      <w:r>
        <w:rPr>
          <w:b w:val="off"/>
          <w:sz w:val="22"/>
        </w:rPr>
        <w:t>Le Dossier complet, rédigé en langue française, peut être consulté par tout candidat désirant prendre connaissance ou obtenir des informations à l’adresse ci-après :</w:t>
      </w:r>
    </w:p>
    <w:p>
      <w:pPr>
        <w:spacing w:after="120"/>
        <w:jc w:val="both"/>
      </w:pPr>
      <w:r>
        <w:rPr>
          <w:b w:val="off"/>
          <w:sz w:val="22"/>
        </w:rPr>
        <w:t>Nom du Responsable : {{B04-DS-07}}</w:t>
      </w:r>
    </w:p>
    <w:p>
      <w:pPr>
        <w:spacing w:after="120"/>
        <w:jc w:val="both"/>
      </w:pPr>
      <w:r>
        <w:rPr>
          <w:b w:val="off"/>
          <w:sz w:val="22"/>
        </w:rPr>
        <w:t>Fonction : {{B04-DS-08}}</w:t>
      </w:r>
    </w:p>
    <w:p>
      <w:pPr>
        <w:spacing w:after="120"/>
        <w:jc w:val="both"/>
      </w:pPr>
      <w:r>
        <w:rPr>
          <w:b w:val="off"/>
          <w:sz w:val="22"/>
        </w:rPr>
        <w:t>Bureau, N° porte, étage : {{B04-DS-09}}</w:t>
      </w:r>
    </w:p>
    <w:p>
      <w:pPr>
        <w:spacing w:after="120"/>
        <w:jc w:val="both"/>
      </w:pPr>
      <w:r>
        <w:rPr>
          <w:b w:val="off"/>
          <w:sz w:val="22"/>
        </w:rPr>
        <w:t>Localité : {{B04-DS-10}}</w:t>
      </w:r>
    </w:p>
    <w:p>
      <w:pPr>
        <w:spacing w:after="120"/>
        <w:jc w:val="both"/>
      </w:pPr>
      <w:r>
        <w:rPr>
          <w:b w:val="off"/>
          <w:sz w:val="22"/>
        </w:rPr>
        <w:t>{{FINSI:PAPIER}}</w:t>
      </w:r>
    </w:p>
    <w:p>
      <w:pPr>
        <w:spacing w:after="120"/>
        <w:jc w:val="both"/>
      </w:pPr>
      <w:r>
        <w:rPr>
          <w:b w:val="off"/>
          <w:sz w:val="22"/>
        </w:rPr>
        <w:t>{{SI:B04-SE}}</w:t>
      </w:r>
    </w:p>
    <w:p>
      <w:pPr>
        <w:spacing w:after="120"/>
        <w:jc w:val="both"/>
      </w:pPr>
      <w:r>
        <w:rPr>
          <w:b w:val="off"/>
          <w:sz w:val="22"/>
        </w:rPr>
        <w:t>Le Dossier complet, rédigé en langue française, peut être consulté par tout candidat sur la plateforme de dépôt des offres : {{B04-SE-02}}.</w:t>
      </w:r>
    </w:p>
    <w:p>
      <w:pPr>
        <w:spacing w:after="120"/>
        <w:jc w:val="both"/>
      </w:pPr>
      <w:r>
        <w:rPr>
          <w:b w:val="off"/>
          <w:sz w:val="22"/>
        </w:rPr>
        <w:t>{{FINSI:B04-SE}}</w:t>
      </w:r>
    </w:p>
    <w:p>
      <w:pPr>
        <w:spacing w:after="160"/>
        <w:jc w:val="left"/>
      </w:pPr>
      <w:r>
        <w:rPr>
          <w:b w:val="on"/>
          <w:sz w:val="22"/>
        </w:rPr>
        <w:t>3. 3.Modalités d’acquisition du dossier de consultation (1)</w:t>
      </w:r>
    </w:p>
    <w:p>
      <w:pPr>
        <w:spacing w:after="120"/>
        <w:jc w:val="both"/>
      </w:pPr>
      <w:r>
        <w:rPr>
          <w:b w:val="off"/>
          <w:sz w:val="22"/>
        </w:rPr>
        <w:t>{{SI:PAPIER}}</w:t>
      </w:r>
    </w:p>
    <w:p>
      <w:pPr>
        <w:spacing w:after="120"/>
        <w:jc w:val="both"/>
      </w:pPr>
      <w:r>
        <w:rPr>
          <w:b w:val="off"/>
          <w:sz w:val="22"/>
        </w:rPr>
        <w:t>{{SI:MONTANT-LOTS}}</w:t>
      </w:r>
    </w:p>
    <w:p>
      <w:pPr>
        <w:spacing w:after="120"/>
        <w:jc w:val="both"/>
      </w:pPr>
      <w:r>
        <w:rPr>
          <w:b w:val="off"/>
          <w:sz w:val="22"/>
        </w:rPr>
        <w:t>Pour tout candidat désirant soumissionner, le règlement de la consultation (1) est retiré auprès de {{B04-DS-04}} moyennant le paiement d’un montant non remboursable de {{B04-DS-05.parLot}} à verser sur le compte bancaire de l’ARMP : {{PARAM.compte-dao}}.</w:t>
      </w:r>
    </w:p>
    <w:p>
      <w:pPr>
        <w:spacing w:after="120"/>
        <w:jc w:val="both"/>
      </w:pPr>
      <w:r>
        <w:rPr>
          <w:b w:val="off"/>
          <w:sz w:val="22"/>
        </w:rPr>
        <w:t>{{FINSI:MONTANT-LOTS}}</w:t>
      </w:r>
    </w:p>
    <w:p>
      <w:pPr>
        <w:spacing w:after="120"/>
        <w:jc w:val="both"/>
      </w:pPr>
      <w:r>
        <w:rPr>
          <w:b w:val="off"/>
          <w:sz w:val="22"/>
        </w:rPr>
        <w:t>{{SI:MONTANT-UNIQUE}}</w:t>
      </w:r>
    </w:p>
    <w:p>
      <w:pPr>
        <w:spacing w:after="120"/>
        <w:jc w:val="both"/>
      </w:pPr>
      <w:r>
        <w:rPr>
          <w:b w:val="off"/>
          <w:sz w:val="22"/>
        </w:rPr>
        <w:t>Pour tout candidat désirant soumissionner, le règlement de la consultation (1) est retiré auprès de {{B04-DS-04}} moyennant le paiement d’un montant non remboursable de {{B04-DS-05.lettres}} ({{B04-DS-05}}) à verser sur le compte bancaire de l’ARMP : {{PARAM.compte-dao}}.</w:t>
      </w:r>
    </w:p>
    <w:p>
      <w:pPr>
        <w:spacing w:after="120"/>
        <w:jc w:val="both"/>
      </w:pPr>
      <w:r>
        <w:rPr>
          <w:b w:val="off"/>
          <w:sz w:val="22"/>
        </w:rPr>
        <w:t>{{FINSI:MONTANT-UNIQUE}}</w:t>
      </w:r>
    </w:p>
    <w:p>
      <w:pPr>
        <w:spacing w:after="120"/>
        <w:jc w:val="both"/>
      </w:pPr>
      <w:r>
        <w:rPr>
          <w:b w:val="off"/>
          <w:sz w:val="22"/>
        </w:rPr>
        <w:t>{{FINSI:PAPIER}}</w:t>
      </w:r>
    </w:p>
    <w:p>
      <w:pPr>
        <w:spacing w:after="120"/>
        <w:jc w:val="both"/>
      </w:pPr>
      <w:r>
        <w:rPr>
          <w:b w:val="off"/>
          <w:sz w:val="22"/>
        </w:rPr>
        <w:t>{{SI:B04-SE}}</w:t>
      </w:r>
    </w:p>
    <w:p>
      <w:pPr>
        <w:spacing w:after="120"/>
        <w:jc w:val="both"/>
      </w:pPr>
      <w:r>
        <w:rPr>
          <w:b w:val="off"/>
          <w:sz w:val="22"/>
        </w:rPr>
        <w:t>{{SI:MONTANT-LOTS}}</w:t>
      </w:r>
    </w:p>
    <w:p>
      <w:pPr>
        <w:spacing w:after="120"/>
        <w:jc w:val="both"/>
      </w:pPr>
      <w:r>
        <w:rPr>
          <w:b w:val="off"/>
          <w:sz w:val="22"/>
        </w:rPr>
        <w:t>Pour tout candidat désirant soumissionner, le règlement de la consultation (1) est retiré sur la plateforme de dépôt des offres ({{B04-SE-02}}) moyennant le paiement d’un montant non remboursable de {{B04-DS-05.parLot}} à verser sur le compte bancaire de l’ARMP : {{PARAM.compte-dao}}. Le retrait est ouvert au candidat une fois le reçu de son versement validé.</w:t>
      </w:r>
    </w:p>
    <w:p>
      <w:pPr>
        <w:spacing w:after="120"/>
        <w:jc w:val="both"/>
      </w:pPr>
      <w:r>
        <w:rPr>
          <w:b w:val="off"/>
          <w:sz w:val="22"/>
        </w:rPr>
        <w:t>{{FINSI:MONTANT-LOTS}}</w:t>
      </w:r>
    </w:p>
    <w:p>
      <w:pPr>
        <w:spacing w:after="120"/>
        <w:jc w:val="both"/>
      </w:pPr>
      <w:r>
        <w:rPr>
          <w:b w:val="off"/>
          <w:sz w:val="22"/>
        </w:rPr>
        <w:t>{{SI:MONTANT-UNIQUE}}</w:t>
      </w:r>
    </w:p>
    <w:p>
      <w:pPr>
        <w:spacing w:after="120"/>
        <w:jc w:val="both"/>
      </w:pPr>
      <w:r>
        <w:rPr>
          <w:b w:val="off"/>
          <w:sz w:val="22"/>
        </w:rPr>
        <w:t>Pour tout candidat désirant soumissionner, le règlement de la consultation (1) est retiré sur la plateforme de dépôt des offres ({{B04-SE-02}}) moyennant le paiement d’un montant non remboursable de {{B04-DS-05.lettres}} ({{B04-DS-05}}) à verser sur le compte bancaire de l’ARMP : {{PARAM.compte-dao}}. Le retrait est ouvert au candidat une fois le reçu de son versement validé.</w:t>
      </w:r>
    </w:p>
    <w:p>
      <w:pPr>
        <w:spacing w:after="120"/>
        <w:jc w:val="both"/>
      </w:pPr>
      <w:r>
        <w:rPr>
          <w:b w:val="off"/>
          <w:sz w:val="22"/>
        </w:rPr>
        <w:t>{{FINSI:MONTANT-UNIQUE}}</w:t>
      </w:r>
    </w:p>
    <w:p>
      <w:pPr>
        <w:spacing w:after="120"/>
        <w:jc w:val="both"/>
      </w:pPr>
      <w:r>
        <w:rPr>
          <w:b w:val="off"/>
          <w:sz w:val="22"/>
        </w:rPr>
        <w:t>{{FINSI:B04-SE}}</w:t>
      </w:r>
    </w:p>
    <w:p>
      <w:pPr>
        <w:spacing w:after="160"/>
        <w:jc w:val="left"/>
      </w:pPr>
      <w:r>
        <w:rPr>
          <w:b w:val="on"/>
          <w:sz w:val="22"/>
        </w:rPr>
        <w:t>3.4.Modification du dossier de consultation (1)</w:t>
      </w:r>
    </w:p>
    <w:p>
      <w:pPr>
        <w:spacing w:after="120"/>
        <w:jc w:val="both"/>
      </w:pPr>
      <w:r>
        <w:rPr>
          <w:b w:val="off"/>
          <w:sz w:val="22"/>
        </w:rPr>
        <w:t>L’Autorité contractante se réserve le droit d'apporter des modifications de détail au dossier de consultation(1) au plus tard 6 jours avant la date limite de réception des offres. Ce délai est décompté à partir de la date d'envoi par l’Autorité contractante des modifications aux candidats ayant retiré le dossier initial. Les candidats devront alors répondre sur la base du dossier modifié sans pouvoir élever de réclamation à ce sujet.</w:t>
      </w:r>
    </w:p>
    <w:p>
      <w:pPr>
        <w:spacing w:after="120"/>
        <w:jc w:val="both"/>
      </w:pPr>
      <w:r>
        <w:rPr>
          <w:b w:val="off"/>
          <w:sz w:val="22"/>
        </w:rPr>
        <w:t>Si la date limite de réception des offres est reportée, la disposition précédente est applicable en fonction de cette nouvelle date.</w:t>
      </w:r>
    </w:p>
    <w:p>
      <w:pPr>
        <w:spacing w:after="160"/>
        <w:jc w:val="left"/>
      </w:pPr>
      <w:r>
        <w:rPr>
          <w:b w:val="on"/>
          <w:sz w:val="22"/>
        </w:rPr>
        <w:t>ARTICLE 4 : PRESENTATION DES OFFRES</w:t>
      </w:r>
    </w:p>
    <w:p>
      <w:pPr>
        <w:spacing w:after="120"/>
        <w:jc w:val="both"/>
      </w:pPr>
      <w:r>
        <w:rPr>
          <w:b w:val="off"/>
          <w:sz w:val="22"/>
        </w:rPr>
        <w:t>Les soumissionnaires remettent un dossier complet comprenant les pièces mentionnées ci-après. Les documents demandés doivent être signés par le soumissionnaire, le mandataire du groupement momentané d'entreprise ou chacun des membres de ce même groupement.</w:t>
      </w:r>
    </w:p>
    <w:p>
      <w:pPr>
        <w:spacing w:after="120"/>
        <w:jc w:val="both"/>
      </w:pPr>
      <w:r>
        <w:rPr>
          <w:b w:val="off"/>
          <w:sz w:val="22"/>
        </w:rPr>
        <w:t>{{SI:B04-SE}}</w:t>
      </w:r>
    </w:p>
    <w:p>
      <w:pPr>
        <w:spacing w:after="120"/>
        <w:jc w:val="both"/>
      </w:pPr>
      <w:r>
        <w:rPr>
          <w:b w:val="off"/>
          <w:sz w:val="22"/>
        </w:rPr>
        <w:t>Les pièces sont déposées en fichiers sur la plateforme de dépôt des offres ; la soumission par la plateforme vaut signature des documents dans les conditions de l’article 5.2.</w:t>
      </w:r>
    </w:p>
    <w:p>
      <w:pPr>
        <w:spacing w:after="120"/>
        <w:jc w:val="both"/>
      </w:pPr>
      <w:r>
        <w:rPr>
          <w:b w:val="off"/>
          <w:sz w:val="22"/>
        </w:rPr>
        <w:t>{{FINSI:B04-SE}}</w:t>
      </w:r>
    </w:p>
    <w:p>
      <w:pPr>
        <w:spacing w:after="160"/>
        <w:jc w:val="left"/>
      </w:pPr>
      <w:r>
        <w:rPr>
          <w:b w:val="on"/>
          <w:sz w:val="22"/>
        </w:rPr>
        <w:t>4.1.Pièces constitutives de la candidature (capacités technique et professionnelle) :</w:t>
      </w:r>
    </w:p>
    <w:p>
      <w:pPr>
        <w:spacing w:after="120"/>
        <w:jc w:val="both"/>
      </w:pPr>
      <w:r>
        <w:rPr>
          <w:b w:val="off"/>
          <w:sz w:val="22"/>
        </w:rPr>
        <w:t>{{B04-PO-01}}</w:t>
      </w:r>
    </w:p>
    <w:p>
      <w:pPr>
        <w:spacing w:after="160"/>
        <w:jc w:val="left"/>
      </w:pPr>
      <w:r>
        <w:rPr>
          <w:b w:val="on"/>
          <w:sz w:val="22"/>
        </w:rPr>
        <w:t>4.2.Pièces constitutives de l’offre :</w:t>
      </w:r>
    </w:p>
    <w:p>
      <w:pPr>
        <w:spacing w:after="120"/>
        <w:jc w:val="both"/>
      </w:pPr>
      <w:r>
        <w:rPr>
          <w:b w:val="off"/>
          <w:sz w:val="22"/>
        </w:rPr>
        <w:t>{{B04-PO-02}}</w:t>
      </w:r>
    </w:p>
    <w:p>
      <w:pPr>
        <w:spacing w:after="160"/>
        <w:jc w:val="left"/>
      </w:pPr>
      <w:r>
        <w:rPr>
          <w:b w:val="on"/>
          <w:sz w:val="22"/>
        </w:rPr>
        <w:t>ARTICLE 5 : MODALITES DE REMISE DES OFFRES</w:t>
      </w:r>
    </w:p>
    <w:p>
      <w:pPr>
        <w:spacing w:after="160"/>
        <w:jc w:val="left"/>
      </w:pPr>
      <w:r>
        <w:rPr>
          <w:b w:val="on"/>
          <w:sz w:val="22"/>
        </w:rPr>
        <w:t>5.1 - Transmission sous support papier</w:t>
      </w:r>
    </w:p>
    <w:p>
      <w:pPr>
        <w:spacing w:after="120"/>
        <w:jc w:val="both"/>
      </w:pPr>
      <w:r>
        <w:rPr>
          <w:b w:val="off"/>
          <w:sz w:val="22"/>
        </w:rPr>
        <w:t>{{SI:PAPIER}}</w:t>
      </w:r>
    </w:p>
    <w:p>
      <w:pPr>
        <w:spacing w:after="120"/>
        <w:jc w:val="both"/>
      </w:pPr>
      <w:r>
        <w:rPr>
          <w:b w:val="off"/>
          <w:sz w:val="22"/>
        </w:rPr>
        <w:t>{{B04-RQ-01}}</w:t>
      </w:r>
    </w:p>
    <w:p>
      <w:pPr>
        <w:spacing w:after="120"/>
        <w:jc w:val="both"/>
      </w:pPr>
      <w:r>
        <w:rPr>
          <w:b w:val="off"/>
          <w:sz w:val="22"/>
        </w:rPr>
        <w:t>Les candidats transmettent leur offre sous pli cacheté portant les mentions :</w:t>
      </w:r>
    </w:p>
    <w:p>
      <w:pPr>
        <w:spacing w:after="120"/>
        <w:jc w:val="both"/>
      </w:pPr>
      <w:r>
        <w:rPr>
          <w:b w:val="off"/>
          <w:sz w:val="22"/>
        </w:rPr>
        <w:t>Offre pour : {{B04-RQ-02}}</w:t>
      </w:r>
    </w:p>
    <w:p>
      <w:pPr>
        <w:spacing w:after="120"/>
        <w:jc w:val="center"/>
      </w:pPr>
      <w:r>
        <w:rPr>
          <w:b w:val="off"/>
          <w:sz w:val="22"/>
        </w:rPr>
        <w:t>NE PAS OUVRIR QU’EN SEANCE D’OUVERTURE DES PLIS</w:t>
      </w:r>
    </w:p>
    <w:p>
      <w:pPr>
        <w:spacing w:after="120"/>
        <w:jc w:val="both"/>
      </w:pPr>
      <w:r>
        <w:rPr>
          <w:b w:val="off"/>
          <w:sz w:val="22"/>
        </w:rPr>
        <w:t>Ce pli doit contenir les pièces de la candidature et les pièces de l'offre définies au présent règlement de la consultation. Il devra être remis contre récépissé ou envoyé par pli recommandé avec avis de réception, à l'adresse suivante : {{B04-RQ-03}}</w:t>
      </w:r>
    </w:p>
    <w:p>
      <w:pPr>
        <w:spacing w:after="120"/>
        <w:jc w:val="both"/>
      </w:pPr>
      <w:r>
        <w:rPr>
          <w:b w:val="off"/>
          <w:sz w:val="22"/>
        </w:rPr>
        <w:t>Les plis qui seraient remis ou dont l'avis de réception serait délivré après la date et l'heure limites précitées ainsi que remis sous enveloppe non cachetée, ne seront pas retenus.</w:t>
      </w:r>
    </w:p>
    <w:p>
      <w:pPr>
        <w:spacing w:after="120"/>
        <w:jc w:val="both"/>
      </w:pPr>
      <w:r>
        <w:rPr>
          <w:b w:val="off"/>
          <w:sz w:val="22"/>
        </w:rPr>
        <w:t>{{FINSI:PAPIER}}</w:t>
      </w:r>
    </w:p>
    <w:p>
      <w:pPr>
        <w:spacing w:after="120"/>
        <w:jc w:val="both"/>
      </w:pPr>
      <w:r>
        <w:rPr>
          <w:b w:val="off"/>
          <w:sz w:val="22"/>
        </w:rPr>
        <w:t>{{SI:B04-SE}}</w:t>
      </w:r>
    </w:p>
    <w:p>
      <w:pPr>
        <w:spacing w:after="120"/>
        <w:jc w:val="both"/>
      </w:pPr>
      <w:r>
        <w:rPr>
          <w:b w:val="off"/>
          <w:sz w:val="22"/>
        </w:rPr>
        <w:t>La transmission des offres sous support papier n’est pas admise : la remise électronique est le seul mode de remise de la présente consultation (article 5.2).</w:t>
      </w:r>
    </w:p>
    <w:p>
      <w:pPr>
        <w:spacing w:after="120"/>
        <w:jc w:val="both"/>
      </w:pPr>
      <w:r>
        <w:rPr>
          <w:b w:val="off"/>
          <w:sz w:val="22"/>
        </w:rPr>
        <w:t>{{FINSI:B04-SE}}</w:t>
      </w:r>
    </w:p>
    <w:p>
      <w:pPr>
        <w:spacing w:after="160"/>
        <w:jc w:val="left"/>
      </w:pPr>
      <w:r>
        <w:rPr>
          <w:b w:val="on"/>
          <w:sz w:val="22"/>
        </w:rPr>
        <w:t>5.2 - Transmission électronique</w:t>
      </w:r>
    </w:p>
    <w:p>
      <w:pPr>
        <w:spacing w:after="120"/>
        <w:jc w:val="both"/>
      </w:pPr>
      <w:r>
        <w:rPr>
          <w:b w:val="off"/>
          <w:sz w:val="22"/>
        </w:rPr>
        <w:t>{{SI:PAPIER}}</w:t>
      </w:r>
    </w:p>
    <w:p>
      <w:pPr>
        <w:spacing w:after="120"/>
        <w:jc w:val="both"/>
      </w:pPr>
      <w:r>
        <w:rPr>
          <w:b w:val="off"/>
          <w:sz w:val="22"/>
        </w:rPr>
        <w:t>La transmission de dossiers par voie électronique n’est pas admise</w:t>
      </w:r>
    </w:p>
    <w:p>
      <w:pPr>
        <w:spacing w:after="120"/>
        <w:jc w:val="both"/>
      </w:pPr>
      <w:r>
        <w:rPr>
          <w:b w:val="off"/>
          <w:sz w:val="22"/>
        </w:rPr>
        <w:t>{{FINSI:PAPIER}}</w:t>
      </w:r>
    </w:p>
    <w:p>
      <w:pPr>
        <w:spacing w:after="120"/>
        <w:jc w:val="both"/>
      </w:pPr>
      <w:r>
        <w:rPr>
          <w:b w:val="off"/>
          <w:sz w:val="22"/>
        </w:rPr>
        <w:t>{{SI:B04-SE}}</w:t>
      </w:r>
    </w:p>
    <w:p>
      <w:pPr>
        <w:spacing w:after="120"/>
        <w:jc w:val="both"/>
      </w:pPr>
      <w:r>
        <w:rPr>
          <w:b w:val="off"/>
          <w:sz w:val="22"/>
        </w:rPr>
        <w:t>La remise électronique est le seul mode de remise des offres de la présente consultation : aucun pli sous support papier n’est reçu. Les offres sont déposées sur la plateforme de dépôt : {{B04-SE-02}}.</w:t>
      </w:r>
    </w:p>
    <w:p>
      <w:pPr>
        <w:spacing w:after="120"/>
        <w:jc w:val="both"/>
      </w:pPr>
      <w:r>
        <w:rPr>
          <w:b w:val="off"/>
          <w:sz w:val="22"/>
        </w:rPr>
        <w:t>{{SI:SE-OUVERTURE}}</w:t>
      </w:r>
    </w:p>
    <w:p>
      <w:pPr>
        <w:spacing w:after="120"/>
        <w:jc w:val="both"/>
      </w:pPr>
      <w:r>
        <w:rPr>
          <w:b w:val="off"/>
          <w:sz w:val="22"/>
        </w:rPr>
        <w:t>Les dépôts sont ouverts à compter du {{B04-SE-03}}.</w:t>
      </w:r>
    </w:p>
    <w:p>
      <w:pPr>
        <w:spacing w:after="120"/>
        <w:jc w:val="both"/>
      </w:pPr>
      <w:r>
        <w:rPr>
          <w:b w:val="off"/>
          <w:sz w:val="22"/>
        </w:rPr>
        <w:t>{{FINSI:SE-OUVERTURE}}</w:t>
      </w:r>
    </w:p>
    <w:p>
      <w:pPr>
        <w:spacing w:after="120"/>
        <w:jc w:val="both"/>
      </w:pPr>
      <w:r>
        <w:rPr>
          <w:b w:val="off"/>
          <w:sz w:val="22"/>
        </w:rPr>
        <w:t>Les dates et heures de la procédure s’entendent selon l’heure de référence suivante : {{B04-SE-04}}. Seule l’heure de la plateforme fait foi : une offre dont le dépôt n’est pas achevé à la date et à l’heure limites n’est pas recevable.</w:t>
      </w:r>
    </w:p>
    <w:p>
      <w:pPr>
        <w:spacing w:after="120"/>
        <w:jc w:val="both"/>
      </w:pPr>
      <w:r>
        <w:rPr>
          <w:b w:val="off"/>
          <w:sz w:val="22"/>
        </w:rPr>
        <w:t>Niveau de signature électronique exigé : {{B04-SE-05}}.</w:t>
      </w:r>
    </w:p>
    <w:p>
      <w:pPr>
        <w:spacing w:after="120"/>
        <w:jc w:val="both"/>
      </w:pPr>
      <w:r>
        <w:rPr>
          <w:b w:val="off"/>
          <w:sz w:val="22"/>
        </w:rPr>
        <w:t>{{SI:SE-PRESTATAIRES}}</w:t>
      </w:r>
    </w:p>
    <w:p>
      <w:pPr>
        <w:spacing w:after="120"/>
        <w:jc w:val="both"/>
      </w:pPr>
      <w:r>
        <w:rPr>
          <w:b w:val="off"/>
          <w:sz w:val="22"/>
        </w:rPr>
        <w:t>Prestataires de certification acceptés : {{B04-SE-06}}.</w:t>
      </w:r>
    </w:p>
    <w:p>
      <w:pPr>
        <w:spacing w:after="120"/>
        <w:jc w:val="both"/>
      </w:pPr>
      <w:r>
        <w:rPr>
          <w:b w:val="off"/>
          <w:sz w:val="22"/>
        </w:rPr>
        <w:t>{{FINSI:SE-PRESTATAIRES}}</w:t>
      </w:r>
    </w:p>
    <w:p>
      <w:pPr>
        <w:spacing w:after="120"/>
        <w:jc w:val="both"/>
      </w:pPr>
      <w:r>
        <w:rPr>
          <w:b w:val="off"/>
          <w:sz w:val="22"/>
        </w:rPr>
        <w:t>Les fichiers sont déposés aux formats suivants : {{B04-SE-07}}, dans la limite de {{B04-SE-08}} Mo par fichier et de {{B04-SE-09}} Mo par offre.</w:t>
      </w:r>
    </w:p>
    <w:p>
      <w:pPr>
        <w:spacing w:after="120"/>
        <w:jc w:val="both"/>
      </w:pPr>
      <w:r>
        <w:rPr>
          <w:b w:val="off"/>
          <w:sz w:val="22"/>
        </w:rPr>
        <w:t>{{SI:SE-REMPLACEMENT}}</w:t>
      </w:r>
    </w:p>
    <w:p>
      <w:pPr>
        <w:spacing w:after="120"/>
        <w:jc w:val="both"/>
      </w:pPr>
      <w:r>
        <w:rPr>
          <w:b w:val="off"/>
          <w:sz w:val="22"/>
        </w:rPr>
        <w:t>Jusqu’à la date et à l’heure limites, le candidat peut remplacer ou retirer son offre sur la plateforme ; seul son dernier dépôt est ouvert.</w:t>
      </w:r>
    </w:p>
    <w:p>
      <w:pPr>
        <w:spacing w:after="120"/>
        <w:jc w:val="both"/>
      </w:pPr>
      <w:r>
        <w:rPr>
          <w:b w:val="off"/>
          <w:sz w:val="22"/>
        </w:rPr>
        <w:t>{{FINSI:SE-REMPLACEMENT}}</w:t>
      </w:r>
    </w:p>
    <w:p>
      <w:pPr>
        <w:spacing w:after="120"/>
        <w:jc w:val="both"/>
      </w:pPr>
      <w:r>
        <w:rPr>
          <w:b w:val="off"/>
          <w:sz w:val="22"/>
        </w:rPr>
        <w:t>{{SI:SE-SANS-REMPLACEMENT}}</w:t>
      </w:r>
    </w:p>
    <w:p>
      <w:pPr>
        <w:spacing w:after="120"/>
        <w:jc w:val="both"/>
      </w:pPr>
      <w:r>
        <w:rPr>
          <w:b w:val="off"/>
          <w:sz w:val="22"/>
        </w:rPr>
        <w:t>Une offre déposée ne peut être ni remplacée ni retirée.</w:t>
      </w:r>
    </w:p>
    <w:p>
      <w:pPr>
        <w:spacing w:after="120"/>
        <w:jc w:val="both"/>
      </w:pPr>
      <w:r>
        <w:rPr>
          <w:b w:val="off"/>
          <w:sz w:val="22"/>
        </w:rPr>
        <w:t>{{FINSI:SE-SANS-REMPLACEMENT}}</w:t>
      </w:r>
    </w:p>
    <w:p>
      <w:pPr>
        <w:spacing w:after="120"/>
        <w:jc w:val="both"/>
      </w:pPr>
      <w:r>
        <w:rPr>
          <w:b w:val="off"/>
          <w:sz w:val="22"/>
        </w:rPr>
        <w:t>{{SI:SE-SAUVEGARDE}}</w:t>
      </w:r>
    </w:p>
    <w:p>
      <w:pPr>
        <w:spacing w:after="120"/>
        <w:jc w:val="both"/>
      </w:pPr>
      <w:r>
        <w:rPr>
          <w:b w:val="off"/>
          <w:sz w:val="22"/>
        </w:rPr>
        <w:t>Une copie de sauvegarde est admise sous la forme suivante : {{B04-SE-11}}.</w:t>
      </w:r>
    </w:p>
    <w:p>
      <w:pPr>
        <w:spacing w:after="120"/>
        <w:jc w:val="both"/>
      </w:pPr>
      <w:r>
        <w:rPr>
          <w:b w:val="off"/>
          <w:sz w:val="22"/>
        </w:rPr>
        <w:t>{{FINSI:SE-SAUVEGARDE}}</w:t>
      </w:r>
    </w:p>
    <w:p>
      <w:pPr>
        <w:spacing w:after="120"/>
        <w:jc w:val="both"/>
      </w:pPr>
      <w:r>
        <w:rPr>
          <w:b w:val="off"/>
          <w:sz w:val="22"/>
        </w:rPr>
        <w:t>Si la plateforme est indisponible pendant plus de {{B04-SE-12}} heures au cours des {{B04-SE-16}} heures qui précèdent la date limite de remise, cette date est prorogée de {{B04-SE-13}} jours ouvrables.</w:t>
      </w:r>
    </w:p>
    <w:p>
      <w:pPr>
        <w:spacing w:after="120"/>
        <w:jc w:val="both"/>
      </w:pPr>
      <w:r>
        <w:rPr>
          <w:b w:val="off"/>
          <w:sz w:val="22"/>
        </w:rPr>
        <w:t>Assistance aux candidats : {{B04-SE-14}}.</w:t>
      </w:r>
    </w:p>
    <w:p>
      <w:pPr>
        <w:spacing w:after="120"/>
        <w:jc w:val="both"/>
      </w:pPr>
      <w:r>
        <w:rPr>
          <w:b w:val="off"/>
          <w:sz w:val="22"/>
        </w:rPr>
        <w:t>{{SI:SE-ASSISTANCE-LIMITE}}</w:t>
      </w:r>
    </w:p>
    <w:p>
      <w:pPr>
        <w:spacing w:after="120"/>
        <w:jc w:val="both"/>
      </w:pPr>
      <w:r>
        <w:rPr>
          <w:b w:val="off"/>
          <w:sz w:val="22"/>
        </w:rPr>
        <w:t>Les demandes d’assistance sont reçues jusqu’au {{B04-SE-15}}.</w:t>
      </w:r>
    </w:p>
    <w:p>
      <w:pPr>
        <w:spacing w:after="120"/>
        <w:jc w:val="both"/>
      </w:pPr>
      <w:r>
        <w:rPr>
          <w:b w:val="off"/>
          <w:sz w:val="22"/>
        </w:rPr>
        <w:t>{{FINSI:SE-ASSISTANCE-LIMITE}}</w:t>
      </w:r>
    </w:p>
    <w:p>
      <w:pPr>
        <w:spacing w:after="120"/>
        <w:jc w:val="both"/>
      </w:pPr>
      <w:r>
        <w:rPr>
          <w:b w:val="off"/>
          <w:sz w:val="22"/>
        </w:rPr>
        <w:t>Même si l’offre du candidat à la présente procédure a fait l'objet d'une transmission électronique, le candidat s'engage, notamment dans le cas où son offre est retenue, à accepter la re-matérialisation conforme, sous forme papier, de tous les documents constitutifs à valeur contractuelle. A ce titre, il s'engage également à ce que la personne physique auteur de leur signature électronique procède à leur signature manuscrite sans procéder à la moindre modification de ceux-ci et les renvoie à l’Autorité contractante sous cette forme. Il s'engage enfin à en accepter la notification, selon les procédés habituellement en cours, sous forme papier.</w:t>
      </w:r>
    </w:p>
    <w:p>
      <w:pPr>
        <w:spacing w:after="120"/>
        <w:jc w:val="both"/>
      </w:pPr>
      <w:r>
        <w:rPr>
          <w:b w:val="off"/>
          <w:sz w:val="22"/>
        </w:rPr>
        <w:t>La soumission par la plateforme, effectuée depuis le compte authentifié du candidat et scellée par celle-ci, vaut signature de l'offre et de l'acte d'engagement au sens de l'article 31 du Code. L'attributaire remet l'original signé de son acte d'engagement avant la signature du marché.</w:t>
      </w:r>
    </w:p>
    <w:p>
      <w:pPr>
        <w:spacing w:after="120"/>
        <w:jc w:val="both"/>
      </w:pPr>
      <w:r>
        <w:rPr>
          <w:b w:val="off"/>
          <w:sz w:val="22"/>
        </w:rPr>
        <w:t>{{FINSI:B04-SE}}</w:t>
      </w:r>
    </w:p>
    <w:p>
      <w:pPr>
        <w:spacing w:after="160"/>
        <w:jc w:val="left"/>
      </w:pPr>
      <w:r>
        <w:rPr>
          <w:b w:val="on"/>
          <w:sz w:val="22"/>
        </w:rPr>
        <w:t>ARTICLE 6 : EXAMEN DES CANDIDATURES ET DES OFFRES</w:t>
      </w:r>
    </w:p>
    <w:p>
      <w:pPr>
        <w:spacing w:after="160"/>
        <w:jc w:val="left"/>
      </w:pPr>
      <w:r>
        <w:rPr>
          <w:b w:val="on"/>
          <w:sz w:val="22"/>
        </w:rPr>
        <w:t>6.1 - Sélection des candidatures</w:t>
      </w:r>
    </w:p>
    <w:p>
      <w:pPr>
        <w:spacing w:after="120"/>
        <w:jc w:val="both"/>
      </w:pPr>
      <w:r>
        <w:rPr>
          <w:b w:val="off"/>
          <w:sz w:val="22"/>
        </w:rPr>
        <w:t>{{SI:PAPIER}}</w:t>
      </w:r>
    </w:p>
    <w:p>
      <w:pPr>
        <w:spacing w:after="120"/>
        <w:jc w:val="both"/>
      </w:pPr>
      <w:r>
        <w:rPr>
          <w:b w:val="off"/>
          <w:sz w:val="22"/>
        </w:rPr>
        <w:t>6.1.1. Les plis seront ouverts par le Représentant de l’Autorité contractante.</w:t>
      </w:r>
    </w:p>
    <w:p>
      <w:pPr>
        <w:spacing w:after="120"/>
        <w:jc w:val="both"/>
      </w:pPr>
      <w:r>
        <w:rPr>
          <w:b w:val="off"/>
          <w:sz w:val="22"/>
        </w:rPr>
        <w:t>La séance d'ouverture des plis est publique, les candidats ou leurs représentants sont admis à y assister. Seuls peuvent être ouverts les plis qui ont été reçus dans les conditions prévues ci-dessus au plus tard à la date et à l’heure qui a été fixées pour la réception des offres.</w:t>
      </w:r>
    </w:p>
    <w:p>
      <w:pPr>
        <w:spacing w:after="120"/>
        <w:jc w:val="both"/>
      </w:pPr>
      <w:r>
        <w:rPr>
          <w:b w:val="off"/>
          <w:sz w:val="22"/>
        </w:rPr>
        <w:t>{{FINSI:PAPIER}}</w:t>
      </w:r>
    </w:p>
    <w:p>
      <w:pPr>
        <w:spacing w:after="120"/>
        <w:jc w:val="both"/>
      </w:pPr>
      <w:r>
        <w:rPr>
          <w:b w:val="off"/>
          <w:sz w:val="22"/>
        </w:rPr>
        <w:t>{{SI:B04-SE}}</w:t>
      </w:r>
    </w:p>
    <w:p>
      <w:pPr>
        <w:spacing w:after="120"/>
        <w:jc w:val="both"/>
      </w:pPr>
      <w:r>
        <w:rPr>
          <w:b w:val="off"/>
          <w:sz w:val="22"/>
        </w:rPr>
        <w:t>6.1.1. Les offres déposées sur la plateforme sont ouvertes en séance par le Représentant de l’Autorité contractante, après l’heure limite de remise des offres. Seules peuvent être ouvertes les offres dont le dépôt est achevé à la date et à l’heure fixées pour la réception des offres.</w:t>
      </w:r>
    </w:p>
    <w:p>
      <w:pPr>
        <w:spacing w:after="120"/>
        <w:jc w:val="both"/>
      </w:pPr>
      <w:r>
        <w:rPr>
          <w:b w:val="off"/>
          <w:sz w:val="22"/>
        </w:rPr>
        <w:t>{{SI:OP-DELAI}}</w:t>
      </w:r>
    </w:p>
    <w:p>
      <w:pPr>
        <w:spacing w:after="120"/>
        <w:jc w:val="both"/>
      </w:pPr>
      <w:r>
        <w:rPr>
          <w:b w:val="off"/>
          <w:sz w:val="22"/>
        </w:rPr>
        <w:t>La séance d’ouverture se tient {{B04-OP-12}} minutes après l’heure limite de remise des offres.</w:t>
      </w:r>
    </w:p>
    <w:p>
      <w:pPr>
        <w:spacing w:after="120"/>
        <w:jc w:val="both"/>
      </w:pPr>
      <w:r>
        <w:rPr>
          <w:b w:val="off"/>
          <w:sz w:val="22"/>
        </w:rPr>
        <w:t>{{FINSI:OP-DELAI}}</w:t>
      </w:r>
    </w:p>
    <w:p>
      <w:pPr>
        <w:spacing w:after="120"/>
        <w:jc w:val="both"/>
      </w:pPr>
      <w:r>
        <w:rPr>
          <w:b w:val="off"/>
          <w:sz w:val="22"/>
        </w:rPr>
        <w:t>{{SI:OP-MODALITE}}</w:t>
      </w:r>
    </w:p>
    <w:p>
      <w:pPr>
        <w:spacing w:after="120"/>
        <w:jc w:val="both"/>
      </w:pPr>
      <w:r>
        <w:rPr>
          <w:b w:val="off"/>
          <w:sz w:val="22"/>
        </w:rPr>
        <w:t>Modalité de la séance : {{B04-OP-10}}.</w:t>
      </w:r>
    </w:p>
    <w:p>
      <w:pPr>
        <w:spacing w:after="120"/>
        <w:jc w:val="both"/>
      </w:pPr>
      <w:r>
        <w:rPr>
          <w:b w:val="off"/>
          <w:sz w:val="22"/>
        </w:rPr>
        <w:t>{{FINSI:OP-MODALITE}}</w:t>
      </w:r>
    </w:p>
    <w:p>
      <w:pPr>
        <w:spacing w:after="120"/>
        <w:jc w:val="both"/>
      </w:pPr>
      <w:r>
        <w:rPr>
          <w:b w:val="off"/>
          <w:sz w:val="22"/>
        </w:rPr>
        <w:t>{{SI:OP-LIEN}}</w:t>
      </w:r>
    </w:p>
    <w:p>
      <w:pPr>
        <w:spacing w:after="120"/>
        <w:jc w:val="both"/>
      </w:pPr>
      <w:r>
        <w:rPr>
          <w:b w:val="off"/>
          <w:sz w:val="22"/>
        </w:rPr>
        <w:t>Les soumissionnaires peuvent suivre la séance à l’adresse suivante : {{B04-OP-11}}.</w:t>
      </w:r>
    </w:p>
    <w:p>
      <w:pPr>
        <w:spacing w:after="120"/>
        <w:jc w:val="both"/>
      </w:pPr>
      <w:r>
        <w:rPr>
          <w:b w:val="off"/>
          <w:sz w:val="22"/>
        </w:rPr>
        <w:t>{{FINSI:OP-LIEN}}</w:t>
      </w:r>
    </w:p>
    <w:p>
      <w:pPr>
        <w:spacing w:after="120"/>
        <w:jc w:val="both"/>
      </w:pPr>
      <w:r>
        <w:rPr>
          <w:b w:val="off"/>
          <w:sz w:val="22"/>
        </w:rPr>
        <w:t>{{SI:OP-PV}}</w:t>
      </w:r>
    </w:p>
    <w:p>
      <w:pPr>
        <w:spacing w:after="120"/>
        <w:jc w:val="both"/>
      </w:pPr>
      <w:r>
        <w:rPr>
          <w:b w:val="off"/>
          <w:sz w:val="22"/>
        </w:rPr>
        <w:t>Le procès-verbal de la séance est publié sur la plateforme.</w:t>
      </w:r>
    </w:p>
    <w:p>
      <w:pPr>
        <w:spacing w:after="120"/>
        <w:jc w:val="both"/>
      </w:pPr>
      <w:r>
        <w:rPr>
          <w:b w:val="off"/>
          <w:sz w:val="22"/>
        </w:rPr>
        <w:t>{{FINSI:OP-PV}}</w:t>
      </w:r>
    </w:p>
    <w:p>
      <w:pPr>
        <w:spacing w:after="120"/>
        <w:jc w:val="both"/>
      </w:pPr>
      <w:r>
        <w:rPr>
          <w:b w:val="off"/>
          <w:sz w:val="22"/>
        </w:rPr>
        <w:t>{{FINSI:B04-SE}}</w:t>
      </w:r>
    </w:p>
    <w:p>
      <w:pPr>
        <w:spacing w:after="120"/>
        <w:jc w:val="both"/>
      </w:pPr>
      <w:r>
        <w:rPr>
          <w:b w:val="off"/>
          <w:sz w:val="22"/>
        </w:rPr>
        <w:t>Avant de procéder à l'examen des candidatures, si l'on constate que des pièces du dossier de candidature sont manquantes ou incomplètes, l’Autorité contractante peut décider de demander à tous les candidats concernés de produire ou compléter ces pièces dans un délai maximum de 10 jours. Les autres candidats, qui ont la possibilité de compléter leur candidature, en seront informés dans le même délai.</w:t>
      </w:r>
    </w:p>
    <w:p>
      <w:pPr>
        <w:spacing w:after="120"/>
        <w:jc w:val="both"/>
      </w:pPr>
      <w:r>
        <w:rPr>
          <w:b w:val="off"/>
          <w:sz w:val="22"/>
        </w:rPr>
        <w:t>Les candidatures conformes et recevables seront examinées, à partir des seuls renseignements et documents exigés dans le cadre de cette consultation(1), pour évaluer leur situation juridique ainsi que leurs capacités professionnelles, techniques et financières.</w:t>
      </w:r>
    </w:p>
    <w:p>
      <w:pPr>
        <w:spacing w:after="160"/>
        <w:jc w:val="left"/>
      </w:pPr>
      <w:r>
        <w:rPr>
          <w:b w:val="on"/>
          <w:sz w:val="22"/>
        </w:rPr>
        <w:t>6.1.2. Critères d’élimination des candidatures :</w:t>
      </w:r>
    </w:p>
    <w:p>
      <w:pPr>
        <w:spacing w:after="120"/>
        <w:jc w:val="both"/>
      </w:pPr>
      <w:r>
        <w:rPr>
          <w:b w:val="off"/>
          <w:sz w:val="22"/>
        </w:rPr>
        <w:t>{{B06-SC-02}}</w:t>
      </w:r>
    </w:p>
    <w:p>
      <w:pPr>
        <w:spacing w:after="160"/>
        <w:jc w:val="left"/>
      </w:pPr>
      <w:r>
        <w:rPr>
          <w:b w:val="on"/>
          <w:sz w:val="22"/>
        </w:rPr>
        <w:t>6.2. La procédure de sélection des offres</w:t>
      </w:r>
    </w:p>
    <w:p>
      <w:pPr>
        <w:spacing w:after="120"/>
        <w:jc w:val="both"/>
      </w:pPr>
      <w:r>
        <w:rPr>
          <w:b w:val="off"/>
          <w:sz w:val="22"/>
        </w:rPr>
        <w:t>La procédure de sélection des offres se déroule selon les modalités suivantes:</w:t>
      </w:r>
    </w:p>
    <w:p>
      <w:pPr>
        <w:spacing w:after="160"/>
        <w:jc w:val="left"/>
      </w:pPr>
      <w:r>
        <w:rPr>
          <w:b w:val="on"/>
          <w:sz w:val="22"/>
        </w:rPr>
        <w:t>1. Rejet des offres hors-délais - Ouverture des offres</w:t>
      </w:r>
    </w:p>
    <w:p>
      <w:pPr>
        <w:spacing w:after="120"/>
        <w:jc w:val="both"/>
      </w:pPr>
      <w:r>
        <w:rPr>
          <w:b w:val="off"/>
          <w:sz w:val="22"/>
        </w:rPr>
        <w:t>Le représentant de l’autorité contractante écarte les offres reçues hors délai.</w:t>
      </w:r>
    </w:p>
    <w:p>
      <w:pPr>
        <w:spacing w:after="160"/>
        <w:jc w:val="left"/>
      </w:pPr>
      <w:r>
        <w:rPr>
          <w:b w:val="on"/>
          <w:sz w:val="22"/>
        </w:rPr>
        <w:t>2. Analyse des offres</w:t>
      </w:r>
    </w:p>
    <w:p>
      <w:pPr>
        <w:spacing w:after="120"/>
        <w:jc w:val="both"/>
      </w:pPr>
      <w:r>
        <w:rPr>
          <w:b w:val="off"/>
          <w:sz w:val="22"/>
        </w:rPr>
        <w:t>Le comité d’évaluation procède à l'analyse des offres des soumissionnaires retenus.</w:t>
      </w:r>
    </w:p>
    <w:p>
      <w:pPr>
        <w:spacing w:after="160"/>
        <w:jc w:val="left"/>
      </w:pPr>
      <w:r>
        <w:rPr>
          <w:b w:val="on"/>
          <w:sz w:val="22"/>
        </w:rPr>
        <w:t>3. Rejet des offres non recevables.</w:t>
      </w:r>
    </w:p>
    <w:p>
      <w:pPr>
        <w:spacing w:after="120"/>
        <w:jc w:val="both"/>
      </w:pPr>
      <w:r>
        <w:rPr>
          <w:b w:val="off"/>
          <w:sz w:val="22"/>
        </w:rPr>
        <w:t>Le comité d’évaluation rejette les offres inappropriées, inacceptables ou irrégulières.</w:t>
      </w:r>
    </w:p>
    <w:p>
      <w:pPr>
        <w:spacing w:after="160"/>
        <w:jc w:val="left"/>
      </w:pPr>
      <w:r>
        <w:rPr>
          <w:b w:val="on"/>
          <w:sz w:val="22"/>
        </w:rPr>
        <w:t>4. Comparaison des offres pour la sélection de l’offre économiquement la plus avantageuse</w:t>
      </w:r>
    </w:p>
    <w:p>
      <w:pPr>
        <w:spacing w:after="120"/>
        <w:jc w:val="both"/>
      </w:pPr>
      <w:r>
        <w:rPr>
          <w:b w:val="off"/>
          <w:sz w:val="22"/>
        </w:rPr>
        <w:t>{{B06-SO-05}}</w:t>
      </w:r>
    </w:p>
    <w:p>
      <w:pPr>
        <w:spacing w:after="160"/>
        <w:jc w:val="left"/>
      </w:pPr>
      <w:r>
        <w:rPr>
          <w:b w:val="on"/>
          <w:sz w:val="22"/>
        </w:rPr>
        <w:t>ARTICLE 7 : CRITÈRES D’ATTRIBUTION DU CONTRAT-CADRE</w:t>
      </w:r>
    </w:p>
    <w:p>
      <w:pPr>
        <w:spacing w:after="120"/>
        <w:jc w:val="both"/>
      </w:pPr>
      <w:r>
        <w:rPr>
          <w:b w:val="off"/>
          <w:sz w:val="22"/>
        </w:rPr>
        <w:t>{{B06-CA-01}}</w:t>
      </w:r>
    </w:p>
    <w:p>
      <w:pPr>
        <w:spacing w:after="120"/>
        <w:jc w:val="both"/>
      </w:pPr>
      <w:r>
        <w:rPr>
          <w:b w:val="off"/>
          <w:sz w:val="22"/>
        </w:rPr>
        <w:t>L’Autorité contractante peut ne pas donner suite à la consultation(1) pour tout motif d'intérêt général.</w:t>
      </w:r>
    </w:p>
    <w:p>
      <w:pPr>
        <w:spacing w:after="160"/>
        <w:jc w:val="left"/>
      </w:pPr>
      <w:r>
        <w:rPr>
          <w:b w:val="on"/>
          <w:sz w:val="22"/>
        </w:rPr>
        <w:t>ARTICLE 8 : LANGUE DE LA CONSULTATION (1) – UNITE MONETAIRE</w:t>
      </w:r>
    </w:p>
    <w:p>
      <w:pPr>
        <w:spacing w:after="120"/>
        <w:jc w:val="both"/>
      </w:pPr>
      <w:r>
        <w:rPr>
          <w:b w:val="off"/>
          <w:sz w:val="22"/>
        </w:rPr>
        <w:t>{{SI:SANS-DEVISE}}</w:t>
      </w:r>
    </w:p>
    <w:p>
      <w:pPr>
        <w:spacing w:after="120"/>
        <w:jc w:val="both"/>
      </w:pPr>
      <w:r>
        <w:rPr>
          <w:b w:val="off"/>
          <w:sz w:val="22"/>
        </w:rPr>
        <w:t>L’offre des candidats ainsi que l’ensemble des documents de la présente consultation(1) doivent être rédigés en langue française et exprimées en Ariary. Si les offres des candidats sont rédigées dans une autre langue, elles doivent être accompagnées d'une traduction en français. Cette traduction doit concerner l'ensemble des documents remis dans l'offre. L’Autorité contractante conclura les marchés en Ariary.</w:t>
      </w:r>
    </w:p>
    <w:p>
      <w:pPr>
        <w:spacing w:after="120"/>
        <w:jc w:val="both"/>
      </w:pPr>
      <w:r>
        <w:rPr>
          <w:b w:val="off"/>
          <w:sz w:val="22"/>
        </w:rPr>
        <w:t>{{FINSI:SANS-DEVISE}}</w:t>
      </w:r>
    </w:p>
    <w:p>
      <w:pPr>
        <w:spacing w:after="120"/>
        <w:jc w:val="both"/>
      </w:pPr>
      <w:r>
        <w:rPr>
          <w:b w:val="off"/>
          <w:sz w:val="22"/>
        </w:rPr>
        <w:t>{{SI:DEVISE}}</w:t>
      </w:r>
    </w:p>
    <w:p>
      <w:pPr>
        <w:spacing w:after="120"/>
        <w:jc w:val="both"/>
      </w:pPr>
      <w:r>
        <w:rPr>
          <w:b w:val="off"/>
          <w:sz w:val="22"/>
        </w:rPr>
        <w:t>L’offre des candidats ainsi que l’ensemble des documents de la présente consultation(1) doivent être rédigés en langue française et exprimées en Ariary (ou en {{B05-UM-01}}). Si les offres des candidats sont rédigées dans une autre langue, elles doivent être accompagnées d'une traduction en français. Cette traduction doit concerner l'ensemble des documents remis dans l'offre. L’Autorité contractante conclura les marchés en Ariary (ou en {{B05-UM-01}}).</w:t>
      </w:r>
    </w:p>
    <w:p>
      <w:pPr>
        <w:spacing w:after="120"/>
        <w:jc w:val="both"/>
      </w:pPr>
      <w:r>
        <w:rPr>
          <w:b w:val="off"/>
          <w:sz w:val="22"/>
        </w:rPr>
        <w:t>{{FINSI:DEVISE}}</w:t>
      </w:r>
    </w:p>
    <w:p>
      <w:pPr>
        <w:spacing w:after="160"/>
        <w:jc w:val="left"/>
      </w:pPr>
      <w:r>
        <w:rPr>
          <w:b w:val="on"/>
          <w:sz w:val="22"/>
        </w:rPr>
        <w:t>ARTICLE 9 : PASSATION DES MARCHÉS SUBSÉQUENTS</w:t>
      </w:r>
    </w:p>
    <w:p>
      <w:pPr>
        <w:spacing w:after="120"/>
        <w:jc w:val="both"/>
      </w:pPr>
      <w:r>
        <w:rPr>
          <w:b w:val="off"/>
          <w:sz w:val="22"/>
        </w:rPr>
        <w:t>{{SI:RC-BESOIN}}</w:t>
      </w:r>
    </w:p>
    <w:p>
      <w:pPr>
        <w:spacing w:after="120"/>
        <w:jc w:val="both"/>
      </w:pPr>
      <w:r>
        <w:rPr>
          <w:b w:val="off"/>
          <w:sz w:val="22"/>
        </w:rPr>
        <w:t>Pendant la durée du contrat-cadre, les marchés subséquents sont attribués après mise en concurrence de tous les titulaires du contrat-cadre lors de la survenance du besoin.</w:t>
      </w:r>
    </w:p>
    <w:p>
      <w:pPr>
        <w:spacing w:after="120"/>
        <w:jc w:val="both"/>
      </w:pPr>
      <w:r>
        <w:rPr>
          <w:b w:val="off"/>
          <w:sz w:val="22"/>
        </w:rPr>
        <w:t>{{FINSI:RC-BESOIN}}</w:t>
      </w:r>
    </w:p>
    <w:p>
      <w:pPr>
        <w:spacing w:after="120"/>
        <w:jc w:val="both"/>
      </w:pPr>
      <w:r>
        <w:rPr>
          <w:b w:val="off"/>
          <w:sz w:val="22"/>
        </w:rPr>
        <w:t>{{SI:RC-CALENDRIER}}</w:t>
      </w:r>
    </w:p>
    <w:p>
      <w:pPr>
        <w:spacing w:after="120"/>
        <w:jc w:val="both"/>
      </w:pPr>
      <w:r>
        <w:rPr>
          <w:b w:val="off"/>
          <w:sz w:val="22"/>
        </w:rPr>
        <w:t>Pendant la durée du contrat-cadre, les marchés subséquents sont attribués après mise en concurrence de tous les titulaires du contrat-cadre selon le calendrier fixé à l'article premier du présent contrat-cadre.</w:t>
      </w:r>
    </w:p>
    <w:p>
      <w:pPr>
        <w:spacing w:after="120"/>
        <w:jc w:val="both"/>
      </w:pPr>
      <w:r>
        <w:rPr>
          <w:b w:val="off"/>
          <w:sz w:val="22"/>
        </w:rPr>
        <w:t>{{FINSI:RC-CALENDRIER}}</w:t>
      </w:r>
    </w:p>
    <w:p>
      <w:pPr>
        <w:spacing w:after="120"/>
        <w:jc w:val="both"/>
      </w:pPr>
      <w:r>
        <w:rPr>
          <w:b w:val="off"/>
          <w:sz w:val="22"/>
        </w:rPr>
        <w:t>La mise en compétition des titulaires du contrat-cadre se feront par le biais d’une lettre d’invitation, sous forme de demande de devis ou de facture pro-forma, adressée par l’Autorité contractante. Le devis ou la facture pro-forma devra parvenir à {{B07-PS-02}} dans un délai de {{B07-PS-03}} heures ouvrées, par courrier postal ou remis en main propre contre récépissé.</w:t>
      </w:r>
    </w:p>
    <w:p>
      <w:pPr>
        <w:spacing w:after="120"/>
        <w:jc w:val="both"/>
      </w:pPr>
      <w:r>
        <w:rPr>
          <w:b w:val="off"/>
          <w:sz w:val="22"/>
        </w:rPr>
        <w:t>A défaut, le titulaire du contrat-cadre sera réputé ne pas avoir répondu. En l’absence de trois réponses consécutives et sauf cas de force majeure dûment justifiée, le titulaire sera exclu du contrat-cadre.</w:t>
      </w:r>
    </w:p>
    <w:p>
      <w:pPr>
        <w:spacing w:after="120"/>
        <w:jc w:val="both"/>
      </w:pPr>
      <w:r>
        <w:rPr>
          <w:b w:val="off"/>
          <w:sz w:val="22"/>
        </w:rPr>
        <w:t>La demande de devis ou de facture pro-forma précisera :</w:t>
      </w:r>
    </w:p>
    <w:p>
      <w:pPr>
        <w:spacing w:after="120"/>
        <w:jc w:val="both"/>
      </w:pPr>
      <w:r>
        <w:rPr>
          <w:b w:val="off"/>
          <w:sz w:val="22"/>
        </w:rPr>
        <w:t>La nature et la quantité du besoin</w:t>
      </w:r>
    </w:p>
    <w:p>
      <w:pPr>
        <w:spacing w:after="120"/>
        <w:jc w:val="both"/>
      </w:pPr>
      <w:r>
        <w:rPr>
          <w:b w:val="off"/>
          <w:sz w:val="22"/>
        </w:rPr>
        <w:t>L’adresse du site de livraison</w:t>
      </w:r>
    </w:p>
    <w:p>
      <w:pPr>
        <w:spacing w:after="120"/>
        <w:jc w:val="both"/>
      </w:pPr>
      <w:r>
        <w:rPr>
          <w:b w:val="off"/>
          <w:sz w:val="22"/>
        </w:rPr>
        <w:t>Le(s) critère(s) pondéré(s) de jugement choisis dans la liste suivante : prix, qualité de la fourniture, réduction du délai de livraison, caractère innovant)</w:t>
      </w:r>
    </w:p>
    <w:p>
      <w:pPr>
        <w:spacing w:after="120"/>
        <w:jc w:val="both"/>
      </w:pPr>
      <w:r>
        <w:rPr>
          <w:b w:val="off"/>
          <w:sz w:val="22"/>
        </w:rPr>
        <w:t>Le cas échéant d’autres documents techniques</w:t>
      </w:r>
    </w:p>
    <w:p>
      <w:pPr>
        <w:spacing w:after="120"/>
        <w:jc w:val="both"/>
      </w:pPr>
      <w:r>
        <w:rPr>
          <w:b w:val="off"/>
          <w:sz w:val="22"/>
        </w:rPr>
        <w:t>Critère(s) pondéré(s) de jugement: ceux indiqués sur la demande devis ou de facture pro-forma</w:t>
      </w:r>
    </w:p>
    <w:p>
      <w:pPr>
        <w:spacing w:after="120"/>
        <w:jc w:val="both"/>
      </w:pPr>
      <w:r>
        <w:rPr>
          <w:b w:val="off"/>
          <w:sz w:val="22"/>
        </w:rPr>
        <w:t>Le devis ou la facture pro-forma précisera :</w:t>
      </w:r>
    </w:p>
    <w:p>
      <w:pPr>
        <w:spacing w:after="120"/>
        <w:jc w:val="both"/>
      </w:pPr>
      <w:r>
        <w:rPr>
          <w:b w:val="off"/>
          <w:sz w:val="22"/>
        </w:rPr>
        <w:t>La référence du chaque produit</w:t>
      </w:r>
    </w:p>
    <w:p>
      <w:pPr>
        <w:spacing w:after="120"/>
        <w:jc w:val="both"/>
      </w:pPr>
      <w:r>
        <w:rPr>
          <w:b w:val="off"/>
          <w:sz w:val="22"/>
        </w:rPr>
        <w:t>Le type de matériel</w:t>
      </w:r>
    </w:p>
    <w:p>
      <w:pPr>
        <w:spacing w:after="120"/>
        <w:jc w:val="both"/>
      </w:pPr>
      <w:r>
        <w:rPr>
          <w:b w:val="off"/>
          <w:sz w:val="22"/>
        </w:rPr>
        <w:t>Les quantités</w:t>
      </w:r>
    </w:p>
    <w:p>
      <w:pPr>
        <w:spacing w:after="120"/>
        <w:jc w:val="both"/>
      </w:pPr>
      <w:r>
        <w:rPr>
          <w:b w:val="off"/>
          <w:sz w:val="22"/>
        </w:rPr>
        <w:t>Le prix unitaire et le prix total pour chaque produit HT</w:t>
      </w:r>
    </w:p>
    <w:p>
      <w:pPr>
        <w:spacing w:after="120"/>
        <w:jc w:val="both"/>
      </w:pPr>
      <w:r>
        <w:rPr>
          <w:b w:val="off"/>
          <w:sz w:val="22"/>
        </w:rPr>
        <w:t>Le montant total remisé HT de la commande</w:t>
      </w:r>
    </w:p>
    <w:p>
      <w:pPr>
        <w:spacing w:after="120"/>
        <w:jc w:val="both"/>
      </w:pPr>
      <w:r>
        <w:rPr>
          <w:b w:val="off"/>
          <w:sz w:val="22"/>
        </w:rPr>
        <w:t>Le montant TTC de la commande</w:t>
      </w:r>
    </w:p>
    <w:p>
      <w:pPr>
        <w:spacing w:after="120"/>
        <w:jc w:val="both"/>
      </w:pPr>
      <w:r>
        <w:rPr>
          <w:b w:val="off"/>
          <w:sz w:val="22"/>
        </w:rPr>
        <w:t>Le devis ou la facture pro-forma devra répondre strictement aux renseignements sollicités dans la demande de devis. Pour les devis ou factures pro-forma incomplets, le candidat devra les compléter dans les 24 heures ouvrées. A défaut son offre sera rejetée.</w:t>
      </w:r>
    </w:p>
    <w:p>
      <w:pPr>
        <w:spacing w:after="160"/>
        <w:jc w:val="left"/>
      </w:pPr>
      <w:r>
        <w:rPr>
          <w:b w:val="on"/>
          <w:sz w:val="22"/>
        </w:rPr>
        <w:t>ARTICLE 10 : AUTRES RENSEIGNEMENTS ET INFORMATIONS COMPLEMENTAIRES</w:t>
      </w:r>
    </w:p>
    <w:p>
      <w:pPr>
        <w:spacing w:after="120"/>
        <w:jc w:val="both"/>
      </w:pPr>
      <w:r>
        <w:rPr>
          <w:b w:val="off"/>
          <w:sz w:val="22"/>
        </w:rPr>
        <w:t>{{SI:PAPIER}}</w:t>
      </w:r>
    </w:p>
    <w:p>
      <w:pPr>
        <w:spacing w:after="120"/>
        <w:jc w:val="both"/>
      </w:pPr>
      <w:r>
        <w:rPr>
          <w:b w:val="off"/>
          <w:sz w:val="22"/>
        </w:rPr>
        <w:t>Toute demande d’informations complémentaires sur des points techniques ou administratifs du dossier devra être adressée à {{B04-RC-01}} au plus tard {{B04-RC-02}} jours avant la date limite de remise des offres.</w:t>
      </w:r>
    </w:p>
    <w:p>
      <w:pPr>
        <w:spacing w:after="120"/>
        <w:jc w:val="both"/>
      </w:pPr>
      <w:r>
        <w:rPr>
          <w:b w:val="off"/>
          <w:sz w:val="22"/>
        </w:rPr>
        <w:t>{{FINSI:PAPIER}}</w:t>
      </w:r>
    </w:p>
    <w:p>
      <w:pPr>
        <w:spacing w:after="120"/>
        <w:jc w:val="both"/>
      </w:pPr>
      <w:r>
        <w:rPr>
          <w:b w:val="off"/>
          <w:sz w:val="22"/>
        </w:rPr>
        <w:t>{{SI:B04-SE}}</w:t>
      </w:r>
    </w:p>
    <w:p>
      <w:pPr>
        <w:spacing w:after="120"/>
        <w:jc w:val="both"/>
      </w:pPr>
      <w:r>
        <w:rPr>
          <w:b w:val="off"/>
          <w:sz w:val="22"/>
        </w:rPr>
        <w:t>Toute demande d’informations complémentaires sur des points techniques ou administratifs du dossier est posée sur la plateforme de dépôt des offres ({{B04-SE-02}}) au plus tard {{B04-RC-02}} jours avant la date limite de remise des offres ; la plateforme n’en reçoit plus au-delà.</w:t>
      </w:r>
    </w:p>
    <w:p>
      <w:pPr>
        <w:spacing w:after="120"/>
        <w:jc w:val="both"/>
      </w:pPr>
      <w:r>
        <w:rPr>
          <w:b w:val="off"/>
          <w:sz w:val="22"/>
        </w:rPr>
        <w:t>{{FINSI:B04-SE}}</w:t>
      </w:r>
    </w:p>
    <w:p>
      <w:pPr>
        <w:spacing w:after="120"/>
        <w:jc w:val="both"/>
      </w:pPr>
      <w:r>
        <w:rPr>
          <w:b w:val="off"/>
          <w:sz w:val="22"/>
        </w:rPr>
        <w:t>Si une question est posée par un candidat, les autres candidats sont destinataires des éléments en réponse à la question posée par un candidat.</w:t>
      </w:r>
    </w:p>
    <w:p>
      <w:pPr>
        <w:spacing w:after="160"/>
        <w:jc w:val="left"/>
      </w:pPr>
      <w:r>
        <w:rPr>
          <w:b w:val="on"/>
          <w:sz w:val="22"/>
        </w:rPr>
        <w:t>ARTICLE 11 : VOIES ET DÉLAIS DE RECOURS</w:t>
      </w:r>
    </w:p>
    <w:p>
      <w:pPr>
        <w:spacing w:after="120"/>
        <w:jc w:val="both"/>
      </w:pPr>
      <w:r>
        <w:rPr>
          <w:b w:val="off"/>
          <w:sz w:val="22"/>
        </w:rPr>
        <w:t>L'instance chargée des procédures de recours est {{B06-AN-03}}</w:t>
      </w:r>
    </w:p>
    <w:p>
      <w:pPr>
        <w:spacing w:after="160"/>
        <w:jc w:val="left"/>
      </w:pPr>
      <w:r>
        <w:rPr>
          <w:b w:val="on"/>
          <w:sz w:val="22"/>
        </w:rPr>
        <w:t>ARTICLE 12 : CALENDRIER PRÉVISIONNEL</w:t>
      </w:r>
    </w:p>
    <w:p>
      <w:pPr>
        <w:spacing w:after="120"/>
        <w:jc w:val="both"/>
      </w:pPr>
      <w:r>
        <w:rPr>
          <w:b w:val="off"/>
          <w:sz w:val="22"/>
        </w:rPr>
        <w:t>Avis Spécifique d’Appel Public à Concurrence : {{B04-CP-01}}</w:t>
      </w:r>
    </w:p>
    <w:p>
      <w:pPr>
        <w:spacing w:after="120"/>
        <w:jc w:val="both"/>
      </w:pPr>
      <w:r>
        <w:rPr>
          <w:b w:val="off"/>
          <w:sz w:val="22"/>
        </w:rPr>
        <w:t>Date et heure limites de réception des offres : {{B04-CP-02}}</w:t>
      </w:r>
    </w:p>
    <w:p>
      <w:pPr>
        <w:spacing w:after="120"/>
        <w:jc w:val="both"/>
      </w:pPr>
      <w:r>
        <w:rPr>
          <w:b w:val="off"/>
          <w:sz w:val="22"/>
        </w:rPr>
        <w:t>Séance de la Commission d’Appel d’Offres : {{B04-CP-03}}</w:t>
      </w:r>
    </w:p>
    <w:p>
      <w:pPr>
        <w:spacing w:after="120"/>
        <w:jc w:val="both"/>
      </w:pPr>
      <w:r>
        <w:rPr>
          <w:b w:val="off"/>
          <w:sz w:val="22"/>
        </w:rPr>
        <w:t>Attribution du contrat-cadre : {{B04-CP-04}}</w:t>
      </w:r>
    </w:p>
    <w:p>
      <w:pPr>
        <w:spacing w:after="120"/>
        <w:jc w:val="both"/>
      </w:pPr>
      <w:r>
        <w:rPr>
          <w:b w:val="off"/>
          <w:sz w:val="22"/>
        </w:rPr>
        <w:t>Notification du contrat-cadre : {{B04-CP-05}}</w:t>
      </w:r>
    </w:p>
    <w:p>
      <w:pPr>
        <w:spacing w:after="120"/>
        <w:jc w:val="both"/>
      </w:pPr>
      <w:r>
        <w:rPr>
          <w:b w:val="off"/>
          <w:sz w:val="22"/>
        </w:rPr>
        <w:t>(1) Le terme «consultation» utilisé dans le présent document doit être compris dans le sens de «mise en concurrence» (à ne pas confondre avec la procédure de consultation restreinte d’entrepreneurs, de fournisseurs ou de prestataires de service).</w:t>
      </w:r>
    </w:p>
    <w:p>
      <w:pPr>
        <w:spacing w:after="120"/>
        <w:jc w:val="both"/>
      </w:pPr>
      <w:r>
        <w:rPr>
          <w:b w:val="off"/>
          <w:sz w:val="22"/>
        </w:rPr>
        <w:t>Ainsi, le présent document est valable aussi bien pour la procédure d’appel d’offres que pour celle de consultation restreinte.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2026-10-18T16:47:44Z</dcterms:created>
  <dc:creator>Apache POI</dc:creator>
</cp:coreProperties>
</file>