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Acheteur et objet de l’appel d’offres</w:t>
            </w:r>
          </w:p>
        </w:tc>
        <w:tc>
          <w:tcPr>
            <w:tcW w:type="pct" w:w="2500"/>
          </w:tcPr>
          <w:p>
            <w:r>
              <w:rPr>
                <w:sz w:val="20"/>
              </w:rPr>
              <w:t>Acheteur</w:t>
            </w:r>
          </w:p>
          <w:p>
            <w:r>
              <w:rPr>
                <w:sz w:val="20"/>
              </w:rPr>
              <w:t>{{B01-AC-01}}</w:t>
            </w:r>
          </w:p>
          <w:p>
            <w:r>
              <w:rPr>
                <w:sz w:val="20"/>
              </w:rPr>
              <w:t>Objet de l'appel d'offres</w:t>
            </w:r>
          </w:p>
          <w:p>
            <w:r>
              <w:rPr>
                <w:sz w:val="20"/>
              </w:rPr>
              <w:t>{{SI:PROJET}}</w:t>
            </w:r>
          </w:p>
          <w:p>
            <w:r>
              <w:rPr>
                <w:sz w:val="20"/>
              </w:rPr>
              <w:t>Le présent appel d'offres, s'inscrit dans:</w:t>
            </w:r>
          </w:p>
          <w:p>
            <w:r>
              <w:rPr>
                <w:sz w:val="20"/>
              </w:rPr>
              <w:t>{{B02-AU-01}}.</w:t>
            </w:r>
          </w:p>
          <w:p>
            <w:r>
              <w:rPr>
                <w:sz w:val="20"/>
              </w:rPr>
              <w:t>{{FINSI:PROJET}}</w:t>
            </w:r>
          </w:p>
          <w:p>
            <w:r>
              <w:rPr>
                <w:sz w:val="20"/>
              </w:rPr>
              <w:t>L’appel d’offres a pour objet :</w:t>
            </w:r>
          </w:p>
          <w:p>
            <w:r>
              <w:rPr>
                <w:sz w:val="20"/>
              </w:rPr>
              <w:t>{{B02-OB-02}}</w:t>
            </w:r>
          </w:p>
        </w:tc>
      </w:tr>
      <w:tr>
        <w:tc>
          <w:tcPr>
            <w:tcW w:type="pct" w:w="2500"/>
          </w:tcPr>
          <w:p>
            <w:r>
              <w:rPr>
                <w:sz w:val="20"/>
              </w:rPr>
              <w:t>{{SI:ALLOTI}}</w:t>
            </w:r>
          </w:p>
        </w:tc>
        <w:tc>
          <w:tcPr>
            <w:tcW w:type="pct" w:w="2500"/>
          </w:tcPr>
          <w:p>
            <w:r>
              <w:rPr>
                <w:sz w:val="20"/>
              </w:rPr>
              <w:t/>
            </w:r>
          </w:p>
        </w:tc>
      </w:tr>
      <w:tr>
        <w:tc>
          <w:tcPr>
            <w:tcW w:type="pct" w:w="2500"/>
          </w:tcPr>
          <w:p>
            <w:r>
              <w:rPr>
                <w:sz w:val="20"/>
              </w:rPr>
              <w:t>1.1 Lots et variantes</w:t>
            </w:r>
          </w:p>
        </w:tc>
        <w:tc>
          <w:tcPr>
            <w:tcW w:type="pct" w:w="2500"/>
          </w:tcPr>
          <w:p>
            <w:r>
              <w:rPr>
                <w:sz w:val="20"/>
              </w:rPr>
              <w:t>{{SI:ALLOTI}}</w:t>
            </w:r>
          </w:p>
          <w:p>
            <w:r>
              <w:rPr>
                <w:sz w:val="20"/>
              </w:rPr>
              <w:t>Lots</w:t>
            </w:r>
          </w:p>
          <w:p>
            <w:r>
              <w:rPr>
                <w:sz w:val="20"/>
              </w:rPr>
              <w:t>L’appel d’offres porte sur les lots suivants faisant partie de {{B02-OB-01}} :</w:t>
            </w:r>
          </w:p>
          <w:p>
            <w:r>
              <w:rPr>
                <w:sz w:val="20"/>
              </w:rPr>
              <w:t>{{B02-LV-02}}</w:t>
            </w:r>
          </w:p>
          <w:p>
            <w:r>
              <w:rPr>
                <w:sz w:val="20"/>
              </w:rPr>
              <w:t>{{SI:LOTS-DIVISIBLES}}</w:t>
            </w:r>
          </w:p>
          <w:p>
            <w:r>
              <w:rPr>
                <w:sz w:val="20"/>
              </w:rPr>
              <w:t>Chaque lot est indivisible. Toute offre partielle est irrecevable</w:t>
            </w:r>
          </w:p>
          <w:p>
            <w:r>
              <w:rPr>
                <w:sz w:val="20"/>
              </w:rPr>
              <w:t>Les candidats peuvent soumissionner pour un ou plusieurs lots</w:t>
            </w:r>
          </w:p>
          <w:p>
            <w:r>
              <w:rPr>
                <w:sz w:val="20"/>
              </w:rPr>
              <w:t>{{FINSI:LOTS-DIVISIBLES}}</w:t>
            </w:r>
          </w:p>
          <w:p>
            <w:r>
              <w:rPr>
                <w:sz w:val="20"/>
              </w:rPr>
              <w:t>{{SI:LOTS-TOTALITE}}</w:t>
            </w:r>
          </w:p>
          <w:p>
            <w:r>
              <w:rPr>
                <w:sz w:val="20"/>
              </w:rPr>
              <w:t>Les candidats ne peuvent soumissionner que pour la totalité des lots</w:t>
            </w:r>
          </w:p>
          <w:p>
            <w:r>
              <w:rPr>
                <w:sz w:val="20"/>
              </w:rPr>
              <w:t>{{FINSI:LOTS-TOTALITE}}</w:t>
            </w:r>
          </w:p>
          <w:p>
            <w:r>
              <w:rPr>
                <w:sz w:val="20"/>
              </w:rPr>
              <w:t>{{FINSI:ALLOTI}}</w:t>
            </w:r>
          </w:p>
        </w:tc>
      </w:tr>
      <w:tr>
        <w:tc>
          <w:tcPr>
            <w:tcW w:type="pct" w:w="2500"/>
          </w:tcPr>
          <w:p>
            <w:r>
              <w:rPr>
                <w:sz w:val="20"/>
              </w:rPr>
              <w:t>{{FINSI:ALLOTI}}</w:t>
            </w:r>
          </w:p>
        </w:tc>
        <w:tc>
          <w:tcPr>
            <w:tcW w:type="pct" w:w="2500"/>
          </w:tcPr>
          <w:p>
            <w:r>
              <w:rPr>
                <w:sz w:val="20"/>
              </w:rPr>
              <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{{SI:VARIANTES-MOINS-DISANTE}}</w:t>
            </w:r>
          </w:p>
          <w:p>
            <w:r>
              <w:rPr>
                <w:sz w:val="20"/>
              </w:rPr>
              <w:t>L’Acheteur ne considèrera que les variantes offertes par le Candidat ayant soumis l’offre de base évaluée la moins disante.</w:t>
            </w:r>
          </w:p>
          <w:p>
            <w:r>
              <w:rPr>
                <w:sz w:val="20"/>
              </w:rPr>
              <w:t>{{FINSI:VARIANTES-MOINS-DISANTE}}</w:t>
            </w:r>
          </w:p>
          <w:p>
            <w:r>
              <w:rPr>
                <w:sz w:val="20"/>
              </w:rPr>
              <w:t>{{SI:VARIANTES-TOUTES}}</w:t>
            </w:r>
          </w:p>
          <w:p>
            <w:r>
              <w:rPr>
                <w:sz w:val="20"/>
              </w:rPr>
              <w:t>L’Acheteur considérera les offres variantes satisfaisant aux Spécifications Techniques. Toutes les offres reçues pour la solution de base ou comme variantes satisfaisant aux conditions requises, seront évaluées selon leurs valeurs intrinsèques, en conformité avec les mêmes procédures, comme indiquées à la clause 9.4 des Instructions.</w:t>
            </w:r>
          </w:p>
          <w:p>
            <w:r>
              <w:rPr>
                <w:sz w:val="20"/>
              </w:rPr>
              <w:t>{{FINSI:VARIANTES-TOUTES}}</w:t>
            </w:r>
          </w:p>
        </w:tc>
      </w:tr>
      <w:tr>
        <w:tc>
          <w:tcPr>
            <w:tcW w:type="pct" w:w="2500"/>
          </w:tcPr>
          <w:p>
            <w:r>
              <w:rPr>
                <w:sz w:val="20"/>
              </w:rPr>
              <w:t>{{SI:COMMANDE}}</w:t>
            </w:r>
          </w:p>
        </w:tc>
        <w:tc>
          <w:tcPr>
            <w:tcW w:type="pct" w:w="2500"/>
          </w:tcPr>
          <w:p>
            <w:r>
              <w:rPr>
                <w:sz w:val="20"/>
              </w:rPr>
              <w:t/>
            </w:r>
          </w:p>
        </w:tc>
      </w:tr>
      <w:tr>
        <w:tc>
          <w:tcPr>
            <w:tcW w:type="pct" w:w="2500"/>
          </w:tcPr>
          <w:p>
            <w:r>
              <w:rPr>
                <w:sz w:val="20"/>
              </w:rPr>
              <w:t>1.2 Marché à commandes</w:t>
            </w:r>
          </w:p>
        </w:tc>
        <w:tc>
          <w:tcPr>
            <w:tcW w:type="pct" w:w="2500"/>
          </w:tcPr>
          <w:p>
            <w:r>
              <w:rPr>
                <w:sz w:val="20"/>
              </w:rPr>
              <w:t>L’appel d’offre porte sur un marché à commande de :</w:t>
            </w:r>
          </w:p>
          <w:p>
            <w:r>
              <w:rPr>
                <w:sz w:val="20"/>
              </w:rPr>
              <w:t>{{B02-OB-02}}</w:t>
            </w:r>
          </w:p>
          <w:p>
            <w:r>
              <w:rPr>
                <w:sz w:val="20"/>
              </w:rPr>
              <w:t>pour les quantités minimales et maximales spécifiées au Cahier des Prescriptions Spéciales, et</w:t>
            </w:r>
          </w:p>
          <w:p>
            <w:r>
              <w:rPr>
                <w:sz w:val="20"/>
              </w:rPr>
              <w:t>pour une durée de:</w:t>
            </w:r>
          </w:p>
          <w:p>
            <w:r>
              <w:rPr>
                <w:sz w:val="20"/>
              </w:rPr>
              <w:t>{{B02-AU-04}} mois.</w:t>
            </w:r>
          </w:p>
        </w:tc>
      </w:tr>
      <w:tr>
        <w:tc>
          <w:tcPr>
            <w:tcW w:type="pct" w:w="2500"/>
          </w:tcPr>
          <w:p>
            <w:r>
              <w:rPr>
                <w:sz w:val="20"/>
              </w:rPr>
              <w:t>{{FINSI:COMMANDE}}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d'éclaircissements – Modifications</w:t>
            </w:r>
          </w:p>
        </w:tc>
        <w:tc>
          <w:tcPr>
            <w:tcW w:type="pct" w:w="2500"/>
          </w:tcPr>
          <w:p>
            <w:r>
              <w:rPr>
                <w:sz w:val="20"/>
              </w:rPr>
              <w:t/>
            </w:r>
          </w:p>
        </w:tc>
      </w:tr>
      <w:tr>
        <w:tc>
          <w:tcPr>
            <w:tcW w:type="pct" w:w="2500"/>
          </w:tcPr>
          <w:p>
            <w:r>
              <w:rPr>
                <w:sz w:val="20"/>
              </w:rPr>
              <w:t>5.1Composiition du DAO</w:t>
            </w:r>
          </w:p>
        </w:tc>
        <w:tc>
          <w:tcPr>
            <w:tcW w:type="pct" w:w="2500"/>
          </w:tcPr>
          <w:p>
            <w:r>
              <w:rPr>
                <w:sz w:val="20"/>
              </w:rPr>
              <w:t>1.3 : - Modèles de fiches de renseignements</w:t>
            </w:r>
          </w:p>
          <w:p>
            <w:r>
              <w:rPr>
                <w:sz w:val="20"/>
              </w:rPr>
              <w:t>- Modèles de garantie de soumission</w:t>
            </w:r>
          </w:p>
          <w:p>
            <w:r>
              <w:rPr>
                <w:sz w:val="20"/>
              </w:rPr>
              <w:t>2.5 : - Plans, schémas, photos, échantillons …</w:t>
            </w:r>
          </w:p>
        </w:tc>
      </w:tr>
      <w:tr>
        <w:tc>
          <w:tcPr>
            <w:tcW w:type="pct" w:w="2500"/>
          </w:tcPr>
          <w:p>
            <w:r>
              <w:rPr>
                <w:sz w:val="20"/>
              </w:rPr>
              <w:t>5.2. Demandes d’éclaircissements</w:t>
            </w:r>
          </w:p>
        </w:tc>
        <w:tc>
          <w:tcPr>
            <w:tcW w:type="pct" w:w="2500"/>
          </w:tcPr>
          <w:p>
            <w:r>
              <w:rPr>
                <w:sz w:val="20"/>
              </w:rPr>
              <w:t>{{SI:PAPIER}}</w:t>
            </w:r>
          </w:p>
          <w:p>
            <w:r>
              <w:rPr>
                <w:sz w:val="20"/>
              </w:rPr>
              <w:t>Adresse</w:t>
            </w:r>
          </w:p>
          <w:p>
            <w:r>
              <w:rPr>
                <w:sz w:val="20"/>
              </w:rPr>
              <w:t>Afin d’obtenir des éclaircissements, l’adresse de la Personne Responsable des Marchés Publics est la suivante :</w:t>
            </w:r>
          </w:p>
          <w:p>
            <w:r>
              <w:rPr>
                <w:sz w:val="20"/>
              </w:rPr>
              <w:t>{{B04-DE-01}}</w:t>
            </w:r>
          </w:p>
          <w:p>
            <w:r>
              <w:rPr>
                <w:sz w:val="20"/>
              </w:rPr>
              <w:t>{{FINSI:PAPIER}}</w:t>
            </w:r>
          </w:p>
          <w:p>
            <w:r>
              <w:rPr>
                <w:sz w:val="20"/>
              </w:rPr>
              <w:t>{{SI:B04-SE}}</w:t>
            </w:r>
          </w:p>
          <w:p>
            <w:r>
              <w:rPr>
                <w:sz w:val="20"/>
              </w:rPr>
              <w:t>Les demandes d’éclaircissements sont posées sur la plateforme de dépôt : {{B04-SE-02}}. La plateforme n’en reçoit plus au-delà du délai ci-dessous.</w:t>
            </w:r>
          </w:p>
          <w:p>
            <w:r>
              <w:rPr>
                <w:sz w:val="20"/>
              </w:rPr>
              <w:t>{{FINSI:B04-SE}}</w:t>
            </w:r>
          </w:p>
          <w:p>
            <w:r>
              <w:rPr>
                <w:sz w:val="20"/>
              </w:rPr>
              <w:t>Délai pour l'envoi des demandes par les Candidats</w:t>
            </w:r>
          </w:p>
          <w:p>
            <w:r>
              <w:rPr>
                <w:sz w:val="20"/>
              </w:rPr>
              <w:t>{{B04-DE-02}} jours avant la date limite fixée pour la remise des offres figurant à la clause 7.2 ci-dessous.</w:t>
            </w:r>
          </w:p>
          <w:p>
            <w:r>
              <w:rPr>
                <w:sz w:val="20"/>
              </w:rPr>
              <w:t>Délai pour la réponse du représentant de la PRMP</w:t>
            </w:r>
          </w:p>
          <w:p>
            <w:r>
              <w:rPr>
                <w:sz w:val="20"/>
              </w:rPr>
              <w:t>{{B04-DE-03}}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Documents ou pièces à remettre en sus de ceux mentionnés à la clause 6.2. des IC :</w:t>
            </w:r>
          </w:p>
          <w:p>
            <w:r>
              <w:rPr>
                <w:sz w:val="20"/>
              </w:rPr>
              <w:t>{{SI:PIECES-OFFRE-LISTE}}</w:t>
            </w:r>
          </w:p>
          <w:p>
            <w:r>
              <w:rPr>
                <w:sz w:val="20"/>
              </w:rPr>
              <w:t>{{PIECES.offre}}</w:t>
            </w:r>
          </w:p>
          <w:p>
            <w:r>
              <w:rPr>
                <w:sz w:val="20"/>
              </w:rPr>
              <w:t>{{FINSI:PIECES-OFFRE-LISTE}}</w:t>
            </w:r>
          </w:p>
          <w:p>
            <w:r>
              <w:rPr>
                <w:sz w:val="20"/>
              </w:rPr>
              <w:t>{{SI:PIECES-OFFRE-TEXTE}}</w:t>
            </w:r>
          </w:p>
          <w:p>
            <w:r>
              <w:rPr>
                <w:sz w:val="20"/>
              </w:rPr>
              <w:t>{{B04-CO-01}}</w:t>
            </w:r>
          </w:p>
          <w:p>
            <w:r>
              <w:rPr>
                <w:sz w:val="20"/>
              </w:rPr>
              <w:t>{{FINSI:PIECES-OFFRE-TEXTE}}</w:t>
            </w:r>
          </w:p>
          <w:p>
            <w:r>
              <w:rPr>
                <w:sz w:val="20"/>
              </w:rPr>
              <w:t>{{SI:PIECES-ADM}}</w:t>
            </w:r>
          </w:p>
          <w:p>
            <w:r>
              <w:rPr>
                <w:sz w:val="20"/>
              </w:rPr>
              <w:t>Pièces administratives à joindre à l’offre :</w:t>
            </w:r>
          </w:p>
          <w:p>
            <w:r>
              <w:rPr>
                <w:sz w:val="20"/>
              </w:rPr>
              <w:t>{{FINSI:PIECES-ADM}}</w:t>
            </w:r>
          </w:p>
          <w:p>
            <w:r>
              <w:rPr>
                <w:sz w:val="20"/>
              </w:rPr>
              <w:t>{{SI:PIECES-ADM-LISTE}}</w:t>
            </w:r>
          </w:p>
          <w:p>
            <w:r>
              <w:rPr>
                <w:sz w:val="20"/>
              </w:rPr>
              <w:t>{{PIECES.administratives}}</w:t>
            </w:r>
          </w:p>
          <w:p>
            <w:r>
              <w:rPr>
                <w:sz w:val="20"/>
              </w:rPr>
              <w:t>{{FINSI:PIECES-ADM-LISTE}}</w:t>
            </w:r>
          </w:p>
          <w:p>
            <w:r>
              <w:rPr>
                <w:sz w:val="20"/>
              </w:rPr>
              <w:t>{{SI:PIECES-ADM-TEXTE}}</w:t>
            </w:r>
          </w:p>
          <w:p>
            <w:r>
              <w:rPr>
                <w:sz w:val="20"/>
              </w:rPr>
              <w:t>{{B03-CQ-01}}</w:t>
            </w:r>
          </w:p>
          <w:p>
            <w:r>
              <w:rPr>
                <w:sz w:val="20"/>
              </w:rPr>
              <w:t>{{FINSI:PIECES-ADM-TEXTE}}</w:t>
            </w:r>
          </w:p>
        </w:tc>
      </w:tr>
      <w:tr>
        <w:tc>
          <w:tcPr>
            <w:tcW w:type="pct" w:w="2500"/>
          </w:tcPr>
          <w:p>
            <w:r>
              <w:rPr>
                <w:sz w:val="20"/>
              </w:rPr>
              <w:t>6.3. Capacités et qualifications des candidats</w:t>
            </w:r>
          </w:p>
        </w:tc>
        <w:tc>
          <w:tcPr>
            <w:tcW w:type="pct" w:w="2500"/>
          </w:tcPr>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Niveau exigé : {{B03-CQ-02}}</w:t>
            </w:r>
          </w:p>
          <w:p>
            <w:r>
              <w:rPr>
                <w:sz w:val="20"/>
              </w:rPr>
              <w:t>3° Une fiche de renseignements relative à sa capacité financière;</w:t>
            </w:r>
          </w:p>
          <w:p>
            <w:r>
              <w:rPr>
                <w:sz w:val="20"/>
              </w:rPr>
              <w:t>Niveau exigé : {{B03-CQ-03}}</w:t>
            </w:r>
          </w:p>
          <w:p>
            <w:r>
              <w:rPr>
                <w:sz w:val="20"/>
              </w:rPr>
              <w:t>4° la liste des principaux marchés portant sur des fournitures de même type ou d'un type similaire réalisés au cours des trois dernières années, appuyée des certificats de bonne fin ou PV de réception</w:t>
            </w:r>
          </w:p>
          <w:p>
            <w:r>
              <w:rPr>
                <w:sz w:val="20"/>
              </w:rPr>
              <w:t>Pièces exigées : {{B03-CQ-04}}</w:t>
            </w:r>
          </w:p>
          <w:p>
            <w:r>
              <w:rPr>
                <w:sz w:val="20"/>
              </w:rPr>
              <w:t>{{SI:FABRICANT}}</w:t>
            </w:r>
          </w:p>
          <w:p>
            <w:r>
              <w:rPr>
                <w:sz w:val="20"/>
              </w:rPr>
              <w:t>5° Le Candidat qui ne fabrique ou ne produit pas les fournitures qu’il offre, soumettra une Autorisation du Fabriquant</w:t>
            </w:r>
          </w:p>
          <w:p>
            <w:r>
              <w:rPr>
                <w:sz w:val="20"/>
              </w:rPr>
              <w:t>{{FINSI:FABRICANT}}</w:t>
            </w:r>
          </w:p>
          <w:p>
            <w:r>
              <w:rPr>
                <w:sz w:val="20"/>
              </w:rPr>
              <w:t>{{SI:QUALIFICATIONS}}</w:t>
            </w:r>
          </w:p>
          <w:p>
            <w:r>
              <w:rPr>
                <w:sz w:val="20"/>
              </w:rPr>
              <w:t>Les qualifications particulières suivantes sont requises des Candidats : {{B03-CQ-06}}</w:t>
            </w:r>
          </w:p>
          <w:p>
            <w:r>
              <w:rPr>
                <w:sz w:val="20"/>
              </w:rPr>
              <w:t>{{FINSI:QUALIFICATIONS}}</w:t>
            </w:r>
          </w:p>
        </w:tc>
      </w:tr>
      <w:tr>
        <w:tc>
          <w:tcPr>
            <w:tcW w:type="pct" w:w="2500"/>
          </w:tcPr>
          <w:p>
            <w:r>
              <w:rPr>
                <w:sz w:val="20"/>
              </w:rPr>
              <w:t/>
            </w:r>
          </w:p>
        </w:tc>
        <w:tc>
          <w:tcPr>
            <w:tcW w:type="pct" w:w="2500"/>
          </w:tcPr>
          <w:p>
            <w:r>
              <w:rPr>
                <w:sz w:val="20"/>
              </w:rPr>
              <w:t>{{SI:ONG}}</w:t>
            </w:r>
          </w:p>
          <w:p>
            <w:r>
              <w:rPr>
                <w:sz w:val="20"/>
              </w:rPr>
              <w:t>Les communautés locales et/ou les ONG sont admises à participer à l'appel d'offres. Par dérogation aux obligations de fournir les renseignements sus -mentionnés ces communautés n'ont pas à produire:</w:t>
            </w:r>
          </w:p>
          <w:p>
            <w:r>
              <w:rPr>
                <w:sz w:val="20"/>
              </w:rPr>
              <w:t>{{B03-CQ-07}}</w:t>
            </w:r>
          </w:p>
          <w:p>
            <w:r>
              <w:rPr>
                <w:sz w:val="20"/>
              </w:rPr>
              <w:t>{{FINSI:ONG}}</w:t>
            </w:r>
          </w:p>
          <w:p>
            <w:r>
              <w:rPr>
                <w:sz w:val="20"/>
              </w:rPr>
              <w:t>{{SI:PREFERENCE}}</w:t>
            </w:r>
          </w:p>
          <w:p>
            <w:r>
              <w:rPr>
                <w:sz w:val="20"/>
              </w:rPr>
              <w:t>Les Candidats susceptibles de bénéficier de la préférence nationale prévue à l'article 9.5 des IC et des Présentes DPAO doivent produire les pièces justifiant leur éligibilité à cette préférence, prévues à l'article précité.</w:t>
            </w:r>
          </w:p>
          <w:p>
            <w:r>
              <w:rPr>
                <w:sz w:val="20"/>
              </w:rPr>
              <w:t>{{FINSI:PREFERENCE}}</w:t>
            </w:r>
          </w:p>
        </w:tc>
      </w:tr>
      <w:tr>
        <w:tc>
          <w:tcPr>
            <w:tcW w:type="pct" w:w="2500"/>
          </w:tcPr>
          <w:p>
            <w:r>
              <w:rPr>
                <w:sz w:val="20"/>
              </w:rPr>
              <w:t>6.5. Délai de validité des offres</w:t>
            </w:r>
          </w:p>
        </w:tc>
        <w:tc>
          <w:tcPr>
            <w:tcW w:type="pct" w:w="2500"/>
          </w:tcPr>
          <w:p>
            <w:r>
              <w:rPr>
                <w:sz w:val="20"/>
              </w:rPr>
              <w:t>Le délai de validité de l’offre sera de {{B04-VO-01}} jours.</w:t>
            </w:r>
          </w:p>
        </w:tc>
      </w:tr>
      <w:tr>
        <w:tc>
          <w:tcPr>
            <w:tcW w:type="pct" w:w="2500"/>
          </w:tcPr>
          <w:p>
            <w:r>
              <w:rPr>
                <w:sz w:val="20"/>
              </w:rPr>
              <w:t>6.6. Contenu et décomposition des prix</w:t>
            </w:r>
          </w:p>
        </w:tc>
        <w:tc>
          <w:tcPr>
            <w:tcW w:type="pct" w:w="2500"/>
          </w:tcPr>
          <w:p>
            <w:r>
              <w:rPr>
                <w:sz w:val="20"/>
              </w:rPr>
              <w:t>La destination finale des Fournitures est :</w:t>
            </w:r>
          </w:p>
          <w:p>
            <w:r>
              <w:rPr>
                <w:sz w:val="20"/>
              </w:rPr>
              <w:t>{{B09-LL-01.parLot}}.</w:t>
            </w:r>
          </w:p>
          <w:p>
            <w:r>
              <w:rPr>
                <w:sz w:val="20"/>
              </w:rPr>
              <w:t>Terme commercial de livraison (selon les Incoterms 2000)</w:t>
            </w:r>
          </w:p>
          <w:p>
            <w:r>
              <w:rPr>
                <w:sz w:val="20"/>
              </w:rPr>
              <w:t>{{SI:NATIONAL}}</w:t>
            </w:r>
          </w:p>
          <w:p>
            <w:r>
              <w:rPr>
                <w:sz w:val="20"/>
              </w:rPr>
              <w:t>a) Pour les Fournitures acquises sur le territoire nationale, le prix comprend:</w:t>
            </w:r>
          </w:p>
          <w:p>
            <w:r>
              <w:rPr>
                <w:sz w:val="20"/>
              </w:rPr>
              <w:t>{{FINSI:NATIONAL}}</w:t>
            </w:r>
          </w:p>
          <w:p>
            <w:r>
              <w:rPr>
                <w:sz w:val="20"/>
              </w:rPr>
              <w:t>{{SI:NATIONAL-TYPE}}</w:t>
            </w:r>
          </w:p>
          <w:p>
            <w:r>
              <w:rPr>
                <w:sz w:val="20"/>
              </w:rPr>
              <w:t>i) le prix des fournitures EXW, hors TVA, (sortie usine, fabrique, magasin d’exposition, entrepôt ou magasin de ventes, suivant le cas);</w:t>
            </w:r>
          </w:p>
          <w:p>
            <w:r>
              <w:rPr>
                <w:sz w:val="20"/>
              </w:rPr>
              <w:t>ii) le prix des transports intérieurs, assurance et autres services locaux afférents à la livraison des fournitures jusqu’à leur destination finale.</w:t>
            </w:r>
          </w:p>
          <w:p>
            <w:r>
              <w:rPr>
                <w:sz w:val="20"/>
              </w:rPr>
              <w:t>{{FINSI:NATIONAL-TYPE}}</w:t>
            </w:r>
          </w:p>
          <w:p>
            <w:r>
              <w:rPr>
                <w:sz w:val="20"/>
              </w:rPr>
              <w:t>{{SI:NATIONAL-SAISI}}</w:t>
            </w:r>
          </w:p>
          <w:p>
            <w:r>
              <w:rPr>
                <w:sz w:val="20"/>
              </w:rPr>
              <w:t>{{B05-CP-02}}</w:t>
            </w:r>
          </w:p>
          <w:p>
            <w:r>
              <w:rPr>
                <w:sz w:val="20"/>
              </w:rPr>
              <w:t>{{FINSI:NATIONAL-SAISI}}</w:t>
            </w:r>
          </w:p>
          <w:p>
            <w:r>
              <w:rPr>
                <w:sz w:val="20"/>
              </w:rPr>
              <w:t>{{SI:IMPORTEES}}</w:t>
            </w:r>
          </w:p>
          <w:p>
            <w:r>
              <w:rPr>
                <w:sz w:val="20"/>
              </w:rPr>
              <w:t>b) Pour les Fournitures à importer, le prix comprend :</w:t>
            </w:r>
          </w:p>
          <w:p>
            <w:r>
              <w:rPr>
                <w:sz w:val="20"/>
              </w:rPr>
              <w:t>le prix des fournitures correspond à une livraison</w:t>
            </w:r>
          </w:p>
          <w:p>
            <w:r>
              <w:rPr>
                <w:sz w:val="20"/>
              </w:rPr>
              <w:t>{{FINSI:IMPORTEES}}</w:t>
            </w:r>
          </w:p>
          <w:p>
            <w:r>
              <w:rPr>
                <w:sz w:val="20"/>
              </w:rPr>
              <w:t>{{SI:CIP}}</w:t>
            </w:r>
          </w:p>
          <w:p>
            <w:r>
              <w:rPr>
                <w:sz w:val="20"/>
              </w:rPr>
              <w:t>CIP {{B05-CP-05}},</w:t>
            </w:r>
          </w:p>
          <w:p>
            <w:r>
              <w:rPr>
                <w:sz w:val="20"/>
              </w:rPr>
              <w:t>{{FINSI:CIP}}</w:t>
            </w:r>
          </w:p>
          <w:p>
            <w:r>
              <w:rPr>
                <w:sz w:val="20"/>
              </w:rPr>
              <w:t>{{SI:CIF}}</w:t>
            </w:r>
          </w:p>
          <w:p>
            <w:r>
              <w:rPr>
                <w:sz w:val="20"/>
              </w:rPr>
              <w:t>CIF {{B05-CP-05}}</w:t>
            </w:r>
          </w:p>
          <w:p>
            <w:r>
              <w:rPr>
                <w:sz w:val="20"/>
              </w:rPr>
              <w:t>{{FINSI:CIF}}</w:t>
            </w:r>
          </w:p>
          <w:p>
            <w:r>
              <w:rPr>
                <w:sz w:val="20"/>
              </w:rPr>
              <w:t>{{SI:TRANSPORT-INTERIEUR}}</w:t>
            </w:r>
          </w:p>
          <w:p>
            <w:r>
              <w:rPr>
                <w:sz w:val="20"/>
              </w:rPr>
              <w:t>le prix des transports intérieurs, assurance et autres services locaux afférents à la livraison des fournitures du lieu de destination indiqué (CIP) à leur destination finale.</w:t>
            </w:r>
          </w:p>
          <w:p>
            <w:r>
              <w:rPr>
                <w:sz w:val="20"/>
              </w:rPr>
              <w:t>{{FINSI:TRANSPORT-INTERIEUR}}</w:t>
            </w:r>
          </w:p>
        </w:tc>
      </w:tr>
      <w:tr>
        <w:tc>
          <w:tcPr>
            <w:tcW w:type="pct" w:w="2500"/>
          </w:tcPr>
          <w:p>
            <w:r>
              <w:rPr>
                <w:sz w:val="20"/>
              </w:rPr>
              <w:t>6.6.3.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6.7. Monnaie</w:t>
            </w:r>
          </w:p>
        </w:tc>
        <w:tc>
          <w:tcPr>
            <w:tcW w:type="pct" w:w="2500"/>
          </w:tcPr>
          <w:p>
            <w:r>
              <w:rPr>
                <w:sz w:val="20"/>
              </w:rPr>
              <w:t>{{SI:ARIARY}}</w:t>
            </w:r>
          </w:p>
          <w:p>
            <w:r>
              <w:rPr>
                <w:sz w:val="20"/>
              </w:rPr>
              <w:t>tous les prix sont exprimés en Ariary</w:t>
            </w:r>
          </w:p>
          <w:p>
            <w:r>
              <w:rPr>
                <w:sz w:val="20"/>
              </w:rPr>
              <w:t>{{FINSI:ARIARY}}</w:t>
            </w:r>
          </w:p>
          <w:p>
            <w:r>
              <w:rPr>
                <w:sz w:val="20"/>
              </w:rPr>
              <w:t>{{SI:DEVISE}}</w:t>
            </w:r>
          </w:p>
          <w:p>
            <w:r>
              <w:rPr>
                <w:sz w:val="20"/>
              </w:rPr>
              <w:t>Les prix des fournitures importées et dépenses encourues hors de la République de Madagascar sont exprimés en:</w:t>
            </w:r>
          </w:p>
          <w:p>
            <w:r>
              <w:rPr>
                <w:sz w:val="20"/>
              </w:rPr>
              <w:t>{{B05-MO-02}}.</w:t>
            </w:r>
          </w:p>
          <w:p>
            <w:r>
              <w:rPr>
                <w:sz w:val="20"/>
              </w:rPr>
              <w:t>{{FINSI:DEVISE}}</w:t>
            </w:r>
          </w:p>
        </w:tc>
      </w:tr>
      <w:tr>
        <w:tc>
          <w:tcPr>
            <w:tcW w:type="pct" w:w="2500"/>
          </w:tcPr>
          <w:p>
            <w:r>
              <w:rPr>
                <w:sz w:val="20"/>
              </w:rPr>
              <w:t>6.8.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prévues à la clause 6.8. des IC et conformément aux modèles figurant dans les Formulaires de soumission</w:t>
            </w:r>
          </w:p>
          <w:p>
            <w:r>
              <w:rPr>
                <w:sz w:val="20"/>
              </w:rPr>
              <w:t>{{FINSI:GARANTIE}}</w:t>
            </w:r>
          </w:p>
          <w:p>
            <w:r>
              <w:rPr>
                <w:sz w:val="20"/>
              </w:rPr>
              <w:t>{{SI:CHEQUE}}</w:t>
            </w:r>
          </w:p>
          <w:p>
            <w:r>
              <w:rPr>
                <w:sz w:val="20"/>
              </w:rPr>
              <w:t>Un chèque de banque libellé au nom de …</w:t>
            </w:r>
          </w:p>
          <w:p>
            <w:r>
              <w:rPr>
                <w:sz w:val="20"/>
              </w:rPr>
              <w:t>{{FINSI:CHEQUE}}</w:t>
            </w:r>
          </w:p>
          <w:p>
            <w:r>
              <w:rPr>
                <w:sz w:val="20"/>
              </w:rPr>
              <w:t>{{SI:GARANTIE}}</w:t>
            </w:r>
          </w:p>
          <w:p>
            <w:r>
              <w:rPr>
                <w:sz w:val="20"/>
              </w:rPr>
              <w:t>Le montant de la garantie de soumission est de:</w:t>
            </w:r>
          </w:p>
          <w:p>
            <w:r>
              <w:rPr>
                <w:sz w:val="20"/>
              </w:rPr>
              <w:t>{{FINSI:GARANTIE}}</w:t>
            </w:r>
          </w:p>
          <w:p>
            <w:r>
              <w:rPr>
                <w:sz w:val="20"/>
              </w:rPr>
              <w:t>{{SI:GARANTIE-LOTS}}</w:t>
            </w:r>
          </w:p>
          <w:p>
            <w:r>
              <w:rPr>
                <w:sz w:val="20"/>
              </w:rPr>
              <w:t>{{B05-GS-03.parLot}}.</w:t>
            </w:r>
          </w:p>
          <w:p>
            <w:r>
              <w:rPr>
                <w:sz w:val="20"/>
              </w:rPr>
              <w:t>{{FINSI:GARANTIE-LOTS}}</w:t>
            </w:r>
          </w:p>
          <w:p>
            <w:r>
              <w:rPr>
                <w:sz w:val="20"/>
              </w:rPr>
              <w:t>{{SI:GARANTIE-UNIQUE}}</w:t>
            </w:r>
          </w:p>
          <w:p>
            <w:r>
              <w:rPr>
                <w:sz w:val="20"/>
              </w:rPr>
              <w:t>{{B05-GS-03.lettres}} ({{B05-GS-03}}).</w:t>
            </w:r>
          </w:p>
          <w:p>
            <w:r>
              <w:rPr>
                <w:sz w:val="20"/>
              </w:rPr>
              <w:t>{{FINSI:GARANTIE-UNIQUE}}</w:t>
            </w:r>
          </w:p>
        </w:tc>
      </w:tr>
      <w:tr>
        <w:tc>
          <w:tcPr>
            <w:tcW w:type="pct" w:w="2500"/>
          </w:tcPr>
          <w:p>
            <w:r>
              <w:rPr>
                <w:sz w:val="20"/>
              </w:rPr>
              <w:t>{{SI:LANGUE}}</w:t>
            </w:r>
          </w:p>
        </w:tc>
        <w:tc>
          <w:tcPr>
            <w:tcW w:type="pct" w:w="2500"/>
          </w:tcPr>
          <w:p>
            <w:r>
              <w:rPr>
                <w:sz w:val="20"/>
              </w:rPr>
              <w:t/>
            </w:r>
          </w:p>
        </w:tc>
      </w:tr>
      <w:tr>
        <w:tc>
          <w:tcPr>
            <w:tcW w:type="pct" w:w="2500"/>
          </w:tcPr>
          <w:p>
            <w:r>
              <w:rPr>
                <w:sz w:val="20"/>
              </w:rPr>
              <w:t>6.9. Langue</w:t>
            </w:r>
          </w:p>
        </w:tc>
        <w:tc>
          <w:tcPr>
            <w:tcW w:type="pct" w:w="2500"/>
          </w:tcPr>
          <w:p>
            <w:r>
              <w:rPr>
                <w:sz w:val="20"/>
              </w:rPr>
              <w:t>La langue de l'offre est le français ou {{B04-LA-02}}</w:t>
            </w:r>
          </w:p>
        </w:tc>
      </w:tr>
      <w:tr>
        <w:tc>
          <w:tcPr>
            <w:tcW w:type="pct" w:w="2500"/>
          </w:tcPr>
          <w:p>
            <w:r>
              <w:rPr>
                <w:sz w:val="20"/>
              </w:rPr>
              <w:t>{{FINSI:LANGUE}}</w:t>
            </w:r>
          </w:p>
        </w:tc>
        <w:tc>
          <w:tcPr>
            <w:tcW w:type="pct" w:w="2500"/>
          </w:tcPr>
          <w:p>
            <w:r>
              <w:rPr>
                <w:sz w:val="20"/>
              </w:rPr>
              <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{{SI:PAPIER}}</w:t>
            </w:r>
          </w:p>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{{B04-RO-01}} copies</w:t>
            </w:r>
          </w:p>
          <w:p>
            <w:r>
              <w:rPr>
                <w:sz w:val="20"/>
              </w:rPr>
              <w:t>Les enveloppes devront comporter les autres identifications suivantes :</w:t>
            </w:r>
          </w:p>
          <w:p>
            <w:r>
              <w:rPr>
                <w:sz w:val="20"/>
              </w:rPr>
              <w:t>{{B04-RO-02}}</w:t>
            </w:r>
          </w:p>
          <w:p>
            <w:r>
              <w:rPr>
                <w:sz w:val="20"/>
              </w:rPr>
              <w:t>{{SI:ALLOTI}}</w:t>
            </w:r>
          </w:p>
          <w:p>
            <w:r>
              <w:rPr>
                <w:sz w:val="20"/>
              </w:rPr>
              <w:t>numéro du lot auquel se rapporte l'offre</w:t>
            </w:r>
          </w:p>
          <w:p>
            <w:r>
              <w:rPr>
                <w:sz w:val="20"/>
              </w:rPr>
              <w:t>{{FINSI:ALLOTI}}</w:t>
            </w:r>
          </w:p>
          <w:p>
            <w:r>
              <w:rPr>
                <w:sz w:val="20"/>
              </w:rPr>
              <w:t>{{FINSI:PAPIER}}</w:t>
            </w:r>
          </w:p>
          <w:p>
            <w:r>
              <w:rPr>
                <w:sz w:val="20"/>
              </w:rPr>
              <w:t>{{SI:B04-SE}}</w:t>
            </w:r>
          </w:p>
          <w:p>
            <w:r>
              <w:rPr>
                <w:sz w:val="20"/>
              </w:rPr>
              <w:t>{{SI:ALLOTI}}</w:t>
            </w:r>
          </w:p>
          <w:p>
            <w:r>
              <w:rPr>
                <w:sz w:val="20"/>
              </w:rPr>
              <w:t>les offres devront être présentées séparément pour chacun des lots</w:t>
            </w:r>
          </w:p>
          <w:p>
            <w:r>
              <w:rPr>
                <w:sz w:val="20"/>
              </w:rPr>
              <w:t>{{FINSI:ALLOTI}}</w:t>
            </w:r>
          </w:p>
          <w:p>
            <w:r>
              <w:rPr>
                <w:sz w:val="20"/>
              </w:rPr>
              <w:t>L’offre est déposée en fichiers sur la plateforme : ni original ni copie sous support papier n’est demandé.</w:t>
            </w:r>
          </w:p>
          <w:p>
            <w:r>
              <w:rPr>
                <w:sz w:val="20"/>
              </w:rPr>
              <w:t>{{FINSI:B04-SE}}</w:t>
            </w:r>
          </w:p>
        </w:tc>
      </w:tr>
      <w:tr>
        <w:tc>
          <w:tcPr>
            <w:tcW w:type="pct" w:w="2500"/>
          </w:tcPr>
          <w:p>
            <w:r>
              <w:rPr>
                <w:sz w:val="20"/>
              </w:rPr>
              <w:t>7.2. Lieu, date et heure de la remise des offres</w:t>
            </w:r>
          </w:p>
        </w:tc>
        <w:tc>
          <w:tcPr>
            <w:tcW w:type="pct" w:w="2500"/>
          </w:tcPr>
          <w:p>
            <w:r>
              <w:rPr>
                <w:sz w:val="20"/>
              </w:rPr>
              <w:t>{{SI:PAPIER}}</w:t>
            </w:r>
          </w:p>
          <w:p>
            <w:r>
              <w:rPr>
                <w:sz w:val="20"/>
              </w:rPr>
              <w:t>Aux fins de remise des offres l’adresse de l’Autorité Contractante est la suivante :</w:t>
            </w:r>
          </w:p>
          <w:p>
            <w:r>
              <w:rPr>
                <w:sz w:val="20"/>
              </w:rPr>
              <w:t>Attention : {{B04-LR-01}}</w:t>
            </w:r>
          </w:p>
          <w:p>
            <w:r>
              <w:rPr>
                <w:sz w:val="20"/>
              </w:rPr>
              <w:t>Adresse: {{B04-LR-02}}</w:t>
            </w:r>
          </w:p>
          <w:p>
            <w:r>
              <w:rPr>
                <w:sz w:val="20"/>
              </w:rPr>
              <w:t>{{FINSI:PAPIER}}</w:t>
            </w:r>
          </w:p>
          <w:p>
            <w:r>
              <w:rPr>
                <w:sz w:val="20"/>
              </w:rPr>
              <w:t>{{SI:B04-SE}}</w:t>
            </w:r>
          </w:p>
          <w:p>
            <w:r>
              <w:rPr>
                <w:sz w:val="20"/>
              </w:rPr>
              <w:t>Les offres sont déposées sur la plateforme de dépôt : {{B04-SE-02}}.</w:t>
            </w:r>
          </w:p>
          <w:p>
            <w:r>
              <w:rPr>
                <w:sz w:val="20"/>
              </w:rPr>
              <w:t>{{FINSI:B04-SE}}</w:t>
            </w:r>
          </w:p>
          <w:p>
            <w:r>
              <w:rPr>
                <w:sz w:val="20"/>
              </w:rPr>
              <w:t>Les date et heure limites fixées pour la remise des offres sont les suivantes :</w:t>
            </w:r>
          </w:p>
          <w:p>
            <w:r>
              <w:rPr>
                <w:sz w:val="20"/>
              </w:rPr>
              <w:t>Date : {{B04-LR-03}}</w:t>
            </w:r>
          </w:p>
          <w:p>
            <w:r>
              <w:rPr>
                <w:sz w:val="20"/>
              </w:rPr>
              <w:t>Heure : {{B04-LR-04}}</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La remise électronique est le seul mode de remise des offres de la présente procédure d’appel d’offres : aucun pli sous support papier n’est reçu. Les offres sont déposées sur la plateforme de dépôt : {{B04-SE-02}}.</w:t>
            </w:r>
          </w:p>
          <w:p>
            <w:r>
              <w:rPr>
                <w:sz w:val="20"/>
              </w:rPr>
              <w:t>{{SI:SE-OUVERTURE}}</w:t>
            </w:r>
          </w:p>
          <w:p>
            <w:r>
              <w:rPr>
                <w:sz w:val="20"/>
              </w:rPr>
              <w:t>Les dépôts sont ouverts à compter du {{B04-SE-03}}.</w:t>
            </w:r>
          </w:p>
          <w:p>
            <w:r>
              <w:rPr>
                <w:sz w:val="20"/>
              </w:rPr>
              <w:t>{{FINSI:SE-OUVERTURE}}</w:t>
            </w:r>
          </w:p>
          <w:p>
            <w:r>
              <w:rPr>
                <w:sz w:val="20"/>
              </w:rPr>
              <w:t>Les dates et heures de la procédure s’entendent selon l’heure de référence suivante : {{B04-SE-04}}. Seule l’heure de la plateforme fait foi : une offre dont le dépôt n’est pas achevé à la date et à l’heure limites n’est pas recevable.</w:t>
            </w:r>
          </w:p>
          <w:p>
            <w:r>
              <w:rPr>
                <w:sz w:val="20"/>
              </w:rPr>
              <w:t>Niveau de signature électronique exigé : {{B04-SE-05}}.</w:t>
            </w:r>
          </w:p>
          <w:p>
            <w:r>
              <w:rPr>
                <w:sz w:val="20"/>
              </w:rPr>
              <w:t>{{SI:SE-PRESTATAIRES}}</w:t>
            </w:r>
          </w:p>
          <w:p>
            <w:r>
              <w:rPr>
                <w:sz w:val="20"/>
              </w:rPr>
              <w:t>Prestataires de certification acceptés : {{B04-SE-06}}.</w:t>
            </w:r>
          </w:p>
          <w:p>
            <w:r>
              <w:rPr>
                <w:sz w:val="20"/>
              </w:rPr>
              <w:t>{{FINSI:SE-PRESTATAIRES}}</w:t>
            </w:r>
          </w:p>
          <w:p>
            <w:r>
              <w:rPr>
                <w:sz w:val="20"/>
              </w:rPr>
              <w:t>Les fichiers sont déposés aux formats suivants : {{B04-SE-07}}, dans la limite de {{B04-SE-08}} Mo par fichier et de {{B04-SE-09}} Mo par offre.</w:t>
            </w:r>
          </w:p>
          <w:p>
            <w:r>
              <w:rPr>
                <w:sz w:val="20"/>
              </w:rPr>
              <w:t>{{SI:SE-REMPLACEMENT}}</w:t>
            </w:r>
          </w:p>
          <w:p>
            <w:r>
              <w:rPr>
                <w:sz w:val="20"/>
              </w:rPr>
              <w:t>Jusqu’à la date et à l’heure limites, le candidat peut remplacer ou retirer son offre sur la plateforme ; seul son dernier dépôt est ouvert.</w:t>
            </w:r>
          </w:p>
          <w:p>
            <w:r>
              <w:rPr>
                <w:sz w:val="20"/>
              </w:rPr>
              <w:t>{{FINSI:SE-REMPLACEMENT}}</w:t>
            </w:r>
          </w:p>
          <w:p>
            <w:r>
              <w:rPr>
                <w:sz w:val="20"/>
              </w:rPr>
              <w:t>{{SI:SE-SANS-REMPLACEMENT}}</w:t>
            </w:r>
          </w:p>
          <w:p>
            <w:r>
              <w:rPr>
                <w:sz w:val="20"/>
              </w:rPr>
              <w:t>Une offre déposée ne peut être ni remplacée ni retirée.</w:t>
            </w:r>
          </w:p>
          <w:p>
            <w:r>
              <w:rPr>
                <w:sz w:val="20"/>
              </w:rPr>
              <w:t>{{FINSI:SE-SANS-REMPLACEMENT}}</w:t>
            </w:r>
          </w:p>
          <w:p>
            <w:r>
              <w:rPr>
                <w:sz w:val="20"/>
              </w:rPr>
              <w:t>{{SI:SE-SAUVEGARDE}}</w:t>
            </w:r>
          </w:p>
          <w:p>
            <w:r>
              <w:rPr>
                <w:sz w:val="20"/>
              </w:rPr>
              <w:t>Une copie de sauvegarde est admise sous la forme suivante : {{B04-SE-11}}.</w:t>
            </w:r>
          </w:p>
          <w:p>
            <w:r>
              <w:rPr>
                <w:sz w:val="20"/>
              </w:rPr>
              <w:t>{{FINSI:SE-SAUVEGARDE}}</w:t>
            </w:r>
          </w:p>
          <w:p>
            <w:r>
              <w:rPr>
                <w:sz w:val="20"/>
              </w:rPr>
              <w:t>Si la plateforme est indisponible pendant plus de {{B04-SE-12}} heures au cours des {{B04-SE-16}} heures qui précèdent la date limite de remise, cette date est prorogée de {{B04-SE-13}} jours ouvrables.</w:t>
            </w:r>
          </w:p>
          <w:p>
            <w:r>
              <w:rPr>
                <w:sz w:val="20"/>
              </w:rPr>
              <w:t>Assistance aux candidats : {{B04-SE-14}}.</w:t>
            </w:r>
          </w:p>
          <w:p>
            <w:r>
              <w:rPr>
                <w:sz w:val="20"/>
              </w:rPr>
              <w:t>{{SI:SE-ASSISTANCE-LIMITE}}</w:t>
            </w:r>
          </w:p>
          <w:p>
            <w:r>
              <w:rPr>
                <w:sz w:val="20"/>
              </w:rPr>
              <w:t>Les demandes d’assistance sont reçues jusqu’au {{B04-SE-15}}.</w:t>
            </w:r>
          </w:p>
          <w:p>
            <w:r>
              <w:rPr>
                <w:sz w:val="20"/>
              </w:rPr>
              <w:t>{{FINSI:SE-ASSISTANCE-LIMITE}}</w:t>
            </w:r>
          </w:p>
          <w:p>
            <w:r>
              <w:rPr>
                <w:sz w:val="20"/>
              </w:rPr>
              <w:t>La soumission par la plateforme, effectuée depuis le compte authentifié du candidat et scellée par celle-ci, vaut signature de l'offre et de l'acte d'engagement au sens de l'article 31 du Code. L'attributaire remet l'original signé de son acte d'engagement avant la signature du marché.</w:t>
            </w:r>
          </w:p>
          <w:p>
            <w:r>
              <w:rPr>
                <w:sz w:val="20"/>
              </w:rPr>
              <w:t>{{FINSI:B04-SE}}</w:t>
            </w:r>
          </w:p>
        </w:tc>
      </w:tr>
      <w:tr>
        <w:tc>
          <w:tcPr>
            <w:tcW w:type="pct" w:w="2500"/>
          </w:tcPr>
          <w:p>
            <w:r>
              <w:rPr>
                <w:sz w:val="20"/>
              </w:rPr>
              <w:t>8. Ouverture des plis</w:t>
            </w:r>
          </w:p>
        </w:tc>
        <w:tc>
          <w:tcPr>
            <w:tcW w:type="pct" w:w="2500"/>
          </w:tcPr>
          <w:p>
            <w:r>
              <w:rPr>
                <w:sz w:val="20"/>
              </w:rPr>
              <w:t>{{SI:PAPIER}}</w:t>
            </w:r>
          </w:p>
          <w:p>
            <w:r>
              <w:rPr>
                <w:sz w:val="20"/>
              </w:rPr>
              <w:t>Lieu : {{B04-OP-01}}</w:t>
            </w:r>
          </w:p>
          <w:p>
            <w:r>
              <w:rPr>
                <w:sz w:val="20"/>
              </w:rPr>
              <w:t>Date et heure : les mêmes que la date et l’heure limites fixées pour la remise des offres</w:t>
            </w:r>
          </w:p>
          <w:p>
            <w:r>
              <w:rPr>
                <w:sz w:val="20"/>
              </w:rPr>
              <w:t>{{FINSI:PAPIER}}</w:t>
            </w:r>
          </w:p>
          <w:p>
            <w:r>
              <w:rPr>
                <w:sz w:val="20"/>
              </w:rPr>
              <w:t>{{SI:B04-SE}}</w:t>
            </w:r>
          </w:p>
          <w:p>
            <w:r>
              <w:rPr>
                <w:sz w:val="20"/>
              </w:rPr>
              <w:t>Les offres déposées sur la plateforme sont ouvertes en séance, après la date et l’heure limites fixées pour la remise des offres.</w:t>
            </w:r>
          </w:p>
          <w:p>
            <w:r>
              <w:rPr>
                <w:sz w:val="20"/>
              </w:rPr>
              <w:t>{{SI:OP-DELAI}}</w:t>
            </w:r>
          </w:p>
          <w:p>
            <w:r>
              <w:rPr>
                <w:sz w:val="20"/>
              </w:rPr>
              <w:t>La séance d’ouverture se tient {{B04-OP-12}} minutes après l’heure limite de remise des offres.</w:t>
            </w:r>
          </w:p>
          <w:p>
            <w:r>
              <w:rPr>
                <w:sz w:val="20"/>
              </w:rPr>
              <w:t>{{FINSI:OP-DELAI}}</w:t>
            </w:r>
          </w:p>
          <w:p>
            <w:r>
              <w:rPr>
                <w:sz w:val="20"/>
              </w:rPr>
              <w:t>{{SI:OP-MODALITE}}</w:t>
            </w:r>
          </w:p>
          <w:p>
            <w:r>
              <w:rPr>
                <w:sz w:val="20"/>
              </w:rPr>
              <w:t>Modalité de la séance : {{B04-OP-10}}.</w:t>
            </w:r>
          </w:p>
          <w:p>
            <w:r>
              <w:rPr>
                <w:sz w:val="20"/>
              </w:rPr>
              <w:t>{{FINSI:OP-MODALITE}}</w:t>
            </w:r>
          </w:p>
          <w:p>
            <w:r>
              <w:rPr>
                <w:sz w:val="20"/>
              </w:rPr>
              <w:t>{{SI:OP-LIEN}}</w:t>
            </w:r>
          </w:p>
          <w:p>
            <w:r>
              <w:rPr>
                <w:sz w:val="20"/>
              </w:rPr>
              <w:t>Les soumissionnaires peuvent suivre la séance à l’adresse suivante : {{B04-OP-11}}.</w:t>
            </w:r>
          </w:p>
          <w:p>
            <w:r>
              <w:rPr>
                <w:sz w:val="20"/>
              </w:rPr>
              <w:t>{{FINSI:OP-LIEN}}</w:t>
            </w:r>
          </w:p>
          <w:p>
            <w:r>
              <w:rPr>
                <w:sz w:val="20"/>
              </w:rPr>
              <w:t>{{SI:OP-PV}}</w:t>
            </w:r>
          </w:p>
          <w:p>
            <w:r>
              <w:rPr>
                <w:sz w:val="20"/>
              </w:rPr>
              <w:t>Le procès-verbal de la séance est publié sur la plateforme.</w:t>
            </w:r>
          </w:p>
          <w:p>
            <w:r>
              <w:rPr>
                <w:sz w:val="20"/>
              </w:rPr>
              <w:t>{{FINSI:OP-PV}}</w:t>
            </w:r>
          </w:p>
          <w:p>
            <w:r>
              <w:rPr>
                <w:sz w:val="20"/>
              </w:rPr>
              <w:t>Lieu de la séance, lorsqu’elle se tient en présentiel : {{B04-OP-01}}</w:t>
            </w:r>
          </w:p>
          <w:p>
            <w:r>
              <w:rPr>
                <w:sz w:val="20"/>
              </w:rPr>
              <w:t>{{FINSI:B04-SE}}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l'Acheteur ou la PRMP</w:t>
            </w:r>
          </w:p>
        </w:tc>
        <w:tc>
          <w:tcPr>
            <w:tcW w:type="pct" w:w="2500"/>
          </w:tcPr>
          <w:p>
            <w:r>
              <w:rPr>
                <w:sz w:val="20"/>
              </w:rPr>
              <w:t>Les Candidats devront répondre aux demandes d'éclaircissements de la PRMP dans un délai de:</w:t>
            </w:r>
          </w:p>
          <w:p>
            <w:r>
              <w:rPr>
                <w:sz w:val="20"/>
              </w:rPr>
              <w:t>{{B06-EP-01}}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{{SI:CRITERES}}</w:t>
            </w:r>
          </w:p>
        </w:tc>
        <w:tc>
          <w:tcPr>
            <w:tcW w:type="pct" w:w="2500"/>
          </w:tcPr>
          <w:p>
            <w:r>
              <w:rPr>
                <w:sz w:val="20"/>
              </w:rPr>
              <w:t/>
            </w:r>
          </w:p>
        </w:tc>
      </w:tr>
      <w:tr>
        <w:tc>
          <w:tcPr>
            <w:tcW w:type="pct" w:w="2500"/>
          </w:tcPr>
          <w:p>
            <w:r>
              <w:rPr>
                <w:sz w:val="20"/>
              </w:rPr>
              <w:t/>
            </w:r>
          </w:p>
        </w:tc>
        <w:tc>
          <w:tcPr>
            <w:tcW w:type="pct" w:w="2500"/>
          </w:tcPr>
          <w:p>
            <w:r>
              <w:rPr>
                <w:sz w:val="20"/>
              </w:rPr>
              <w:t>Critères additionnels d’évaluation :</w:t>
            </w:r>
          </w:p>
          <w:p>
            <w:r>
              <w:rPr>
                <w:sz w:val="20"/>
              </w:rPr>
              <w:t>L’évaluation d’une offre par l’Acheteur pourra prendre en compte, en plus du prix de l’offre remise, les facteurs décrits ci-après en application des dispositions de l'Article 9.4 des IC,:</w:t>
            </w:r>
          </w:p>
          <w:p>
            <w:r>
              <w:rPr>
                <w:sz w:val="20"/>
              </w:rPr>
              <w:t>{{B06-EO-02}}</w:t>
            </w:r>
          </w:p>
        </w:tc>
      </w:tr>
      <w:tr>
        <w:tc>
          <w:tcPr>
            <w:tcW w:type="pct" w:w="2500"/>
          </w:tcPr>
          <w:p>
            <w:r>
              <w:rPr>
                <w:sz w:val="20"/>
              </w:rPr>
              <w:t>{{FINSI:CRITERES}}</w:t>
            </w:r>
          </w:p>
        </w:tc>
        <w:tc>
          <w:tcPr>
            <w:tcW w:type="pct" w:w="2500"/>
          </w:tcPr>
          <w:p>
            <w:r>
              <w:rPr>
                <w:sz w:val="20"/>
              </w:rPr>
              <w:t/>
            </w:r>
          </w:p>
        </w:tc>
      </w:tr>
      <w:tr>
        <w:tc>
          <w:tcPr>
            <w:tcW w:type="pct" w:w="2500"/>
          </w:tcPr>
          <w:p>
            <w:r>
              <w:rPr>
                <w:sz w:val="20"/>
              </w:rPr>
              <w:t>9.5.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une préférence aux candidats nationaux conformément à la clause 9.5. des IC dans les conditions suivantes.</w:t>
            </w:r>
          </w:p>
          <w:p>
            <w:r>
              <w:rPr>
                <w:sz w:val="20"/>
              </w:rPr>
              <w:t>{{B06-EO-09.chiffres}} %</w:t>
            </w:r>
          </w:p>
          <w:p>
            <w:r>
              <w:rPr>
                <w:sz w:val="20"/>
              </w:rPr>
              <w:t>{{FINSI:PREFERENCE}}</w:t>
            </w:r>
          </w:p>
        </w:tc>
      </w:tr>
      <w:tr>
        <w:tc>
          <w:tcPr>
            <w:tcW w:type="pct" w:w="2500"/>
          </w:tcPr>
          <w:p>
            <w:r>
              <w:rPr>
                <w:sz w:val="20"/>
              </w:rPr>
              <w:t>{{SI:QUANTITES}}</w:t>
            </w:r>
          </w:p>
        </w:tc>
        <w:tc>
          <w:tcPr>
            <w:tcW w:type="pct" w:w="2500"/>
          </w:tcPr>
          <w:p>
            <w:r>
              <w:rPr>
                <w:sz w:val="20"/>
              </w:rPr>
              <w:t/>
            </w:r>
          </w:p>
        </w:tc>
      </w:tr>
      <w:tr>
        <w:tc>
          <w:tcPr>
            <w:tcW w:type="pct" w:w="2500"/>
          </w:tcPr>
          <w:p>
            <w:r>
              <w:rPr>
                <w:sz w:val="20"/>
              </w:rPr>
              <w:t>11. Modification des quantités</w:t>
            </w:r>
          </w:p>
        </w:tc>
        <w:tc>
          <w:tcPr>
            <w:tcW w:type="pct" w:w="2500"/>
          </w:tcPr>
          <w:p>
            <w:r>
              <w:rPr>
                <w:sz w:val="20"/>
              </w:rPr>
              <w:t>L’autorité contractante, au moment de l’attribution du marché, se réserve le droit de modifier les quantités prévues au bordereau des prix, sans modification du prix unitaire, de plus ou moins de {{B06-EO-10.chiffres}}% en fonction des crédits disponibles</w:t>
            </w:r>
          </w:p>
        </w:tc>
      </w:tr>
      <w:tr>
        <w:tc>
          <w:tcPr>
            <w:tcW w:type="pct" w:w="2500"/>
          </w:tcPr>
          <w:p>
            <w:r>
              <w:rPr>
                <w:sz w:val="20"/>
              </w:rPr>
              <w:t>{{FINSI:QUANTITES}}</w:t>
            </w:r>
          </w:p>
        </w:tc>
        <w:tc>
          <w:tcPr>
            <w:tcW w:type="pct" w:w="2500"/>
          </w:tcPr>
          <w:p>
            <w:r>
              <w:rPr>
                <w:sz w:val="20"/>
              </w:rPr>
              <w:t/>
            </w:r>
          </w:p>
        </w:tc>
      </w:tr>
      <w:tr>
        <w:tc>
          <w:tcPr>
            <w:tcW w:type="pct" w:w="2500"/>
          </w:tcPr>
          <w:p>
            <w:r>
              <w:rPr>
                <w:sz w:val="20"/>
              </w:rPr>
              <w:t>12. Délai de livraison</w:t>
            </w:r>
          </w:p>
        </w:tc>
        <w:tc>
          <w:tcPr>
            <w:tcW w:type="pct" w:w="2500"/>
          </w:tcPr>
          <w:p>
            <w:r>
              <w:rPr>
                <w:sz w:val="20"/>
              </w:rPr>
              <w:t>{{SI:QUANTITE-FIXE}}</w:t>
            </w:r>
          </w:p>
          <w:p>
            <w:r>
              <w:rPr>
                <w:sz w:val="20"/>
              </w:rPr>
              <w:t>Le délai de livraison est fixé à {{B06-EO-11}} jours, à compter du lendemain de la date de notification de l’Ordre de Service de commencer les prestations</w:t>
            </w:r>
          </w:p>
          <w:p>
            <w:r>
              <w:rPr>
                <w:sz w:val="20"/>
              </w:rPr>
              <w:t>{{FINSI:QUANTITE-FIXE}}</w:t>
            </w:r>
          </w:p>
          <w:p>
            <w:r>
              <w:rPr>
                <w:sz w:val="20"/>
              </w:rPr>
              <w:t>{{SI:QUANTITE-FIXE-ALLOTI}}</w:t>
            </w:r>
          </w:p>
          <w:p>
            <w:r>
              <w:rPr>
                <w:sz w:val="20"/>
              </w:rPr>
              <w:t>En cas d’attribution de deux ou plusieurs lots à un candidat, les délais ne sont pas cumulables</w:t>
            </w:r>
          </w:p>
          <w:p>
            <w:r>
              <w:rPr>
                <w:sz w:val="20"/>
              </w:rPr>
              <w:t>{{FINSI:QUANTITE-FIXE-ALLOTI}}</w:t>
            </w:r>
          </w:p>
          <w:p>
            <w:r>
              <w:rPr>
                <w:sz w:val="20"/>
              </w:rPr>
              <w:t>{{SI:COMMANDE}}</w:t>
            </w:r>
          </w:p>
          <w:p>
            <w:r>
              <w:rPr>
                <w:sz w:val="20"/>
              </w:rPr>
              <w:t>Le délai de livraison est fixé dans le bon de commande sans toutefois dépasser {{B06-EO-12.parLot}} jours à compter du lendemain de la notification dudit bon de commande</w:t>
            </w:r>
          </w:p>
          <w:p>
            <w:r>
              <w:rPr>
                <w:sz w:val="20"/>
              </w:rPr>
              <w:t>{{FINSI:COMMANDE}}</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2026-10-18T16:47:45Z</dcterms:created>
  <dc:creator>Apache POI</dc:creator>
</cp:coreProperties>
</file>