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20"/>
        <w:jc w:val="center"/>
      </w:pPr>
      <w:r>
        <w:rPr>
          <w:b w:val="off"/>
          <w:sz w:val="22"/>
        </w:rPr>
        <w:t>{{IMAGE:embleme}}</w:t>
      </w:r>
    </w:p>
    <w:p>
      <w:pPr>
        <w:spacing w:after="120"/>
        <w:jc w:val="center"/>
      </w:pPr>
      <w:r>
        <w:rPr>
          <w:b w:val="off"/>
          <w:sz w:val="22"/>
        </w:rPr>
        <w:t>{{B01-AC-01}}</w:t>
      </w:r>
    </w:p>
    <w:p>
      <w:pPr>
        <w:spacing w:after="120"/>
        <w:jc w:val="center"/>
      </w:pPr>
      <w:r>
        <w:rPr>
          <w:b w:val="off"/>
          <w:sz w:val="22"/>
        </w:rPr>
        <w:t>LA PERSONNE RESPONSABLE DES MARCHES PUBLICS</w:t>
      </w:r>
    </w:p>
    <w:p>
      <w:pPr>
        <w:spacing w:after="120"/>
        <w:jc w:val="center"/>
      </w:pPr>
      <w:r>
        <w:rPr>
          <w:b w:val="off"/>
          <w:sz w:val="22"/>
        </w:rPr>
        <w:t>UNITE DE GESTION DE PASSATION DES MARCHES PUBLICS</w:t>
      </w:r>
    </w:p>
    <w:p>
      <w:pPr>
        <w:spacing w:after="240"/>
        <w:jc w:val="center"/>
      </w:pPr>
      <w:r>
        <w:rPr>
          <w:b w:val="on"/>
          <w:sz w:val="26"/>
        </w:rPr>
        <w:t>LETTRE D’INVITATION À SOUMISSIONNER</w:t>
      </w:r>
    </w:p>
    <w:p>
      <w:pPr>
        <w:spacing w:after="120"/>
        <w:jc w:val="both"/>
      </w:pPr>
      <w:r>
        <w:rPr>
          <w:b w:val="off"/>
          <w:sz w:val="22"/>
        </w:rPr>
        <w:t>Référence: {{B02-OB-03}} — {{B02-OB-01}}</w:t>
      </w:r>
    </w:p>
    <w:p>
      <w:pPr>
        <w:spacing w:after="120"/>
        <w:jc w:val="both"/>
      </w:pPr>
      <w:r>
        <w:rPr>
          <w:b w:val="off"/>
          <w:sz w:val="22"/>
        </w:rPr>
        <w:t>{{LETTRE.lieu}}, {{LETTRE.date}}</w:t>
      </w:r>
    </w:p>
    <w:p>
      <w:pPr>
        <w:spacing w:after="120"/>
        <w:jc w:val="both"/>
      </w:pPr>
      <w:r>
        <w:rPr>
          <w:b w:val="off"/>
          <w:sz w:val="22"/>
        </w:rPr>
        <w:t>{{LETTRE.destinataire}}</w:t>
      </w:r>
    </w:p>
    <w:p>
      <w:pPr>
        <w:spacing w:after="120"/>
        <w:jc w:val="both"/>
      </w:pPr>
      <w:r>
        <w:rPr>
          <w:b w:val="off"/>
          <w:sz w:val="22"/>
        </w:rPr>
        <w:t>Madame, Monsieur</w:t>
      </w:r>
    </w:p>
    <w:p>
      <w:pPr>
        <w:spacing w:after="120"/>
        <w:jc w:val="both"/>
      </w:pPr>
      <w:r>
        <w:rPr>
          <w:b w:val="off"/>
          <w:sz w:val="22"/>
        </w:rPr>
        <w:t>{{SI:F}}</w:t>
      </w:r>
    </w:p>
    <w:p>
      <w:pPr>
        <w:spacing w:after="120"/>
        <w:jc w:val="both"/>
      </w:pPr>
      <w:r>
        <w:rPr>
          <w:b w:val="off"/>
          <w:sz w:val="22"/>
        </w:rPr>
        <w:t>1. Nous avons l’honneur de vous informer que vous avez été retenu sur la liste restreinte des candidats admis à soumissionner dans le cadre de l’appel d’offres restreint, prévu à l’article 38 de la loi n° 2016-055 du 25 janvier 2017 portant Code des Marchés Publics, en vue de l’attribution du marché cité en référence. Vous trouverez dans le Dossier d’Appel d’Offres ci-joint la description détaillée des fournitures et services attendus.</w:t>
      </w:r>
    </w:p>
    <w:p>
      <w:pPr>
        <w:spacing w:after="120"/>
        <w:jc w:val="both"/>
      </w:pPr>
      <w:r>
        <w:rPr>
          <w:b w:val="off"/>
          <w:sz w:val="22"/>
        </w:rPr>
        <w:t>{{FINSI:F}}</w:t>
      </w:r>
    </w:p>
    <w:p>
      <w:pPr>
        <w:spacing w:after="120"/>
        <w:jc w:val="both"/>
      </w:pPr>
      <w:r>
        <w:rPr>
          <w:b w:val="off"/>
          <w:sz w:val="22"/>
        </w:rPr>
        <w:t>{{SI:T}}</w:t>
      </w:r>
    </w:p>
    <w:p>
      <w:pPr>
        <w:spacing w:after="120"/>
        <w:jc w:val="both"/>
      </w:pPr>
      <w:r>
        <w:rPr>
          <w:b w:val="off"/>
          <w:sz w:val="22"/>
        </w:rPr>
        <w:t>1. Nous avons l’honneur de vous informer que vous avez été retenu sur la liste restreinte des candidats admis à soumissionner dans le cadre de l’appel d’offres restreint, prévu à l’article 38 de la loi n° 2016-055 du 25 janvier 2017 portant Code des Marchés Publics, en vue de l’attribution du marché cité en référence. Vous trouverez dans le Dossier d’Appel d’Offres ci-joint la description détaillée des travaux à exécuter.</w:t>
      </w:r>
    </w:p>
    <w:p>
      <w:pPr>
        <w:spacing w:after="120"/>
        <w:jc w:val="both"/>
      </w:pPr>
      <w:r>
        <w:rPr>
          <w:b w:val="off"/>
          <w:sz w:val="22"/>
        </w:rPr>
        <w:t>{{FINSI:T}}</w:t>
      </w:r>
    </w:p>
    <w:p>
      <w:pPr>
        <w:spacing w:after="120"/>
        <w:jc w:val="both"/>
      </w:pPr>
      <w:r>
        <w:rPr>
          <w:b w:val="off"/>
          <w:sz w:val="22"/>
        </w:rPr>
        <w:t>Nous vous invitons en conséquence, par la présente, ainsi que les autres candidats de la liste restreinte, à présenter une offre pour l’exécution de ce marché.</w:t>
      </w:r>
    </w:p>
    <w:p>
      <w:pPr>
        <w:spacing w:after="120"/>
        <w:jc w:val="both"/>
      </w:pPr>
      <w:r>
        <w:rPr>
          <w:b w:val="off"/>
          <w:sz w:val="22"/>
        </w:rPr>
        <w:t>2. La présente lettre d’invitation, accompagnée du Dossier d’Appel d’Offres, a été adressée aux candidats dont les noms figurent ci-après :</w:t>
      </w:r>
    </w:p>
    <w:p>
      <w:pPr>
        <w:spacing w:after="120"/>
        <w:jc w:val="both"/>
      </w:pPr>
      <w:r>
        <w:rPr>
          <w:b w:val="off"/>
          <w:sz w:val="22"/>
        </w:rPr>
        <w:t>{{LETTRE.candidats}}</w:t>
      </w:r>
    </w:p>
    <w:p>
      <w:pPr>
        <w:spacing w:after="120"/>
        <w:jc w:val="both"/>
      </w:pPr>
      <w:r>
        <w:rPr>
          <w:b w:val="off"/>
          <w:sz w:val="22"/>
        </w:rPr>
        <w:t>{{SI:PAPIER}}</w:t>
      </w:r>
    </w:p>
    <w:p>
      <w:pPr>
        <w:spacing w:after="120"/>
        <w:jc w:val="both"/>
      </w:pPr>
      <w:r>
        <w:rPr>
          <w:b w:val="off"/>
          <w:sz w:val="22"/>
        </w:rPr>
        <w:t>3. Le Dossier d’Appel d’Offres complet, rédigé en langue française, peut être consulté à l’adresse ci-après :</w:t>
      </w:r>
    </w:p>
    <w:p>
      <w:pPr>
        <w:spacing w:after="120"/>
        <w:jc w:val="both"/>
      </w:pPr>
      <w:r>
        <w:rPr>
          <w:b w:val="off"/>
          <w:sz w:val="22"/>
        </w:rPr>
        <w:t>- Nom du Responsable : {{B04-DS-07}}</w:t>
      </w:r>
    </w:p>
    <w:p>
      <w:pPr>
        <w:spacing w:after="120"/>
        <w:jc w:val="both"/>
      </w:pPr>
      <w:r>
        <w:rPr>
          <w:b w:val="off"/>
          <w:sz w:val="22"/>
        </w:rPr>
        <w:t>- Fonction : {{B04-DS-08}}</w:t>
      </w:r>
    </w:p>
    <w:p>
      <w:pPr>
        <w:spacing w:after="120"/>
        <w:jc w:val="both"/>
      </w:pPr>
      <w:r>
        <w:rPr>
          <w:b w:val="off"/>
          <w:sz w:val="22"/>
        </w:rPr>
        <w:t>- Adresse : {{B04-DS-09}}, {{B04-DS-10}}</w:t>
      </w:r>
    </w:p>
    <w:p>
      <w:pPr>
        <w:spacing w:after="120"/>
        <w:jc w:val="both"/>
      </w:pPr>
      <w:r>
        <w:rPr>
          <w:b w:val="off"/>
          <w:sz w:val="22"/>
        </w:rPr>
        <w:t>{{SI:CONSULTATION-EMAIL}}</w:t>
      </w:r>
    </w:p>
    <w:p>
      <w:pPr>
        <w:spacing w:after="120"/>
        <w:jc w:val="both"/>
      </w:pPr>
      <w:r>
        <w:rPr>
          <w:b w:val="off"/>
          <w:sz w:val="22"/>
        </w:rPr>
        <w:t>- E-mail : {{B04-DS-11}}</w:t>
      </w:r>
    </w:p>
    <w:p>
      <w:pPr>
        <w:spacing w:after="120"/>
        <w:jc w:val="both"/>
      </w:pPr>
      <w:r>
        <w:rPr>
          <w:b w:val="off"/>
          <w:sz w:val="22"/>
        </w:rPr>
        <w:t>{{FINSI:CONSULTATION-EMAIL}}</w:t>
      </w:r>
    </w:p>
    <w:p>
      <w:pPr>
        <w:spacing w:after="120"/>
        <w:jc w:val="both"/>
      </w:pPr>
      <w:r>
        <w:rPr>
          <w:b w:val="off"/>
          <w:sz w:val="22"/>
        </w:rPr>
        <w:t>{{FINSI:PAPIER}}</w:t>
      </w:r>
    </w:p>
    <w:p>
      <w:pPr>
        <w:spacing w:after="120"/>
        <w:jc w:val="both"/>
      </w:pPr>
      <w:r>
        <w:rPr>
          <w:b w:val="off"/>
          <w:sz w:val="22"/>
        </w:rPr>
        <w:t>{{SI:ELECTRONIQUE}}</w:t>
      </w:r>
    </w:p>
    <w:p>
      <w:pPr>
        <w:spacing w:after="120"/>
        <w:jc w:val="both"/>
      </w:pPr>
      <w:r>
        <w:rPr>
          <w:b w:val="off"/>
          <w:sz w:val="22"/>
        </w:rPr>
        <w:t>3. Le Dossier d’Appel d’Offres complet, rédigé en langue française, peut être consulté sur la plateforme de dépôt des offres : {{B04-SE-02}}.</w:t>
      </w:r>
    </w:p>
    <w:p>
      <w:pPr>
        <w:spacing w:after="120"/>
        <w:jc w:val="both"/>
      </w:pPr>
      <w:r>
        <w:rPr>
          <w:b w:val="off"/>
          <w:sz w:val="22"/>
        </w:rPr>
        <w:t>{{FINSI:ELECTRONIQUE}}</w:t>
      </w:r>
    </w:p>
    <w:p>
      <w:pPr>
        <w:spacing w:after="120"/>
        <w:jc w:val="both"/>
      </w:pPr>
      <w:r>
        <w:rPr>
          <w:b w:val="off"/>
          <w:sz w:val="22"/>
        </w:rPr>
        <w:t>{{SI:PAPIER}}</w:t>
      </w:r>
    </w:p>
    <w:p>
      <w:pPr>
        <w:spacing w:after="120"/>
        <w:jc w:val="both"/>
      </w:pPr>
      <w:r>
        <w:rPr>
          <w:b w:val="off"/>
          <w:sz w:val="22"/>
        </w:rPr>
        <w:t>4. Le Dossier d’Appel d’Offres doit être retiré auprès de {{B01-AC-01}} moyennant le paiement d’un montant non remboursable de :</w:t>
      </w:r>
    </w:p>
    <w:p>
      <w:pPr>
        <w:spacing w:after="120"/>
        <w:jc w:val="both"/>
      </w:pPr>
      <w:r>
        <w:rPr>
          <w:b w:val="off"/>
          <w:sz w:val="22"/>
        </w:rPr>
        <w:t>{{FINSI:PAPIER}}</w:t>
      </w:r>
    </w:p>
    <w:p>
      <w:pPr>
        <w:spacing w:after="120"/>
        <w:jc w:val="both"/>
      </w:pPr>
      <w:r>
        <w:rPr>
          <w:b w:val="off"/>
          <w:sz w:val="22"/>
        </w:rPr>
        <w:t>{{SI:ELECTRONIQUE}}</w:t>
      </w:r>
    </w:p>
    <w:p>
      <w:pPr>
        <w:spacing w:after="120"/>
        <w:jc w:val="both"/>
      </w:pPr>
      <w:r>
        <w:rPr>
          <w:b w:val="off"/>
          <w:sz w:val="22"/>
        </w:rPr>
        <w:t>4. Le Dossier d’Appel d’Offres est retiré sur la plateforme de dépôt des offres, une fois le reçu du versement validé, moyennant le paiement d’un montant non remboursable de :</w:t>
      </w:r>
    </w:p>
    <w:p>
      <w:pPr>
        <w:spacing w:after="120"/>
        <w:jc w:val="both"/>
      </w:pPr>
      <w:r>
        <w:rPr>
          <w:b w:val="off"/>
          <w:sz w:val="22"/>
        </w:rPr>
        <w:t>{{FINSI:ELECTRONIQUE}}</w:t>
      </w:r>
    </w:p>
    <w:p>
      <w:pPr>
        <w:spacing w:after="120"/>
        <w:jc w:val="both"/>
      </w:pPr>
      <w:r>
        <w:rPr>
          <w:b w:val="off"/>
          <w:sz w:val="22"/>
        </w:rPr>
        <w:t>{{SI:DAO-LOTS}}</w:t>
      </w:r>
    </w:p>
    <w:p>
      <w:pPr>
        <w:spacing w:after="120"/>
        <w:jc w:val="both"/>
      </w:pPr>
      <w:r>
        <w:rPr>
          <w:b w:val="off"/>
          <w:sz w:val="22"/>
        </w:rPr>
        <w:t>{{B04-DS-05.lignesParLot}}</w:t>
      </w:r>
    </w:p>
    <w:p>
      <w:pPr>
        <w:spacing w:after="120"/>
        <w:jc w:val="both"/>
      </w:pPr>
      <w:r>
        <w:rPr>
          <w:b w:val="off"/>
          <w:sz w:val="22"/>
        </w:rPr>
        <w:t>ou son équivalent en monnaie librement convertible à verser sur le compte bancaire de l’ARMP : {{PARAM.compte-dao}}.</w:t>
      </w:r>
    </w:p>
    <w:p>
      <w:pPr>
        <w:spacing w:after="120"/>
        <w:jc w:val="both"/>
      </w:pPr>
      <w:r>
        <w:rPr>
          <w:b w:val="off"/>
          <w:sz w:val="22"/>
        </w:rPr>
        <w:t>{{FINSI:DAO-LOTS}}</w:t>
      </w:r>
    </w:p>
    <w:p>
      <w:pPr>
        <w:spacing w:after="120"/>
        <w:jc w:val="both"/>
      </w:pPr>
      <w:r>
        <w:rPr>
          <w:b w:val="off"/>
          <w:sz w:val="22"/>
        </w:rPr>
        <w:t>{{SI:DAO-UNIQUE}}</w:t>
      </w:r>
    </w:p>
    <w:p>
      <w:pPr>
        <w:spacing w:after="120"/>
        <w:jc w:val="both"/>
      </w:pPr>
      <w:r>
        <w:rPr>
          <w:b w:val="off"/>
          <w:sz w:val="22"/>
        </w:rPr>
        <w:t>- {{B04-DS-05.lettres}} (Ar {{B04-DS-05.chiffres}}) ou son équivalent en monnaie librement convertible à verser sur le compte bancaire de l’ARMP : {{PARAM.compte-dao}}.</w:t>
      </w:r>
    </w:p>
    <w:p>
      <w:pPr>
        <w:spacing w:after="120"/>
        <w:jc w:val="both"/>
      </w:pPr>
      <w:r>
        <w:rPr>
          <w:b w:val="off"/>
          <w:sz w:val="22"/>
        </w:rPr>
        <w:t>{{FINSI:DAO-UNIQUE}}</w:t>
      </w:r>
    </w:p>
    <w:p>
      <w:pPr>
        <w:spacing w:after="120"/>
        <w:jc w:val="both"/>
      </w:pPr>
      <w:r>
        <w:rPr>
          <w:b w:val="off"/>
          <w:sz w:val="22"/>
        </w:rPr>
        <w:t>{{SI:PAPIER}}</w:t>
      </w:r>
    </w:p>
    <w:p>
      <w:pPr>
        <w:spacing w:after="120"/>
        <w:jc w:val="both"/>
      </w:pPr>
      <w:r>
        <w:rPr>
          <w:b w:val="off"/>
          <w:sz w:val="22"/>
        </w:rPr>
        <w:t>{{SI:F}}</w:t>
      </w:r>
    </w:p>
    <w:p>
      <w:pPr>
        <w:spacing w:after="120"/>
        <w:jc w:val="both"/>
      </w:pPr>
      <w:r>
        <w:rPr>
          <w:b w:val="off"/>
          <w:sz w:val="22"/>
        </w:rPr>
        <w:t>5. Les offres devront parvenir à {{B04-LR-02}} au plus tard le {{B04-LR-03}}, {{B04-LR-04}} et seront ouvertes immédiatement après l’heure limite de remise des offres en présence des candidats ou de leurs représentants qui souhaitent y assister. Les offres hors délai ne seront pas recevables.</w:t>
      </w:r>
    </w:p>
    <w:p>
      <w:pPr>
        <w:spacing w:after="120"/>
        <w:jc w:val="both"/>
      </w:pPr>
      <w:r>
        <w:rPr>
          <w:b w:val="off"/>
          <w:sz w:val="22"/>
        </w:rPr>
        <w:t>{{FINSI:F}}</w:t>
      </w:r>
    </w:p>
    <w:p>
      <w:pPr>
        <w:spacing w:after="120"/>
        <w:jc w:val="both"/>
      </w:pPr>
      <w:r>
        <w:rPr>
          <w:b w:val="off"/>
          <w:sz w:val="22"/>
        </w:rPr>
        <w:t>{{SI:T}}</w:t>
      </w:r>
    </w:p>
    <w:p>
      <w:pPr>
        <w:spacing w:after="120"/>
        <w:jc w:val="both"/>
      </w:pPr>
      <w:r>
        <w:rPr>
          <w:b w:val="off"/>
          <w:sz w:val="22"/>
        </w:rPr>
        <w:t>5. Les offres devront parvenir à {{B01-AC-02}} au plus tard le {{B04-OV-02.heureLocale}} et seront ouvertes immédiatement après l’heure limite de remise des offres en présence des candidats ou de leurs représentants qui souhaitent y assister. Les offres hors délai ne seront pas recevables.</w:t>
      </w:r>
    </w:p>
    <w:p>
      <w:pPr>
        <w:spacing w:after="120"/>
        <w:jc w:val="both"/>
      </w:pPr>
      <w:r>
        <w:rPr>
          <w:b w:val="off"/>
          <w:sz w:val="22"/>
        </w:rPr>
        <w:t>{{FINSI:T}}</w:t>
      </w:r>
    </w:p>
    <w:p>
      <w:pPr>
        <w:spacing w:after="120"/>
        <w:jc w:val="both"/>
      </w:pPr>
      <w:r>
        <w:rPr>
          <w:b w:val="off"/>
          <w:sz w:val="22"/>
        </w:rPr>
        <w:t>{{FINSI:PAPIER}}</w:t>
      </w:r>
    </w:p>
    <w:p>
      <w:pPr>
        <w:spacing w:after="120"/>
        <w:jc w:val="both"/>
      </w:pPr>
      <w:r>
        <w:rPr>
          <w:b w:val="off"/>
          <w:sz w:val="22"/>
        </w:rPr>
        <w:t>{{SI:ELECTRONIQUE}}</w:t>
      </w:r>
    </w:p>
    <w:p>
      <w:pPr>
        <w:spacing w:after="120"/>
        <w:jc w:val="both"/>
      </w:pPr>
      <w:r>
        <w:rPr>
          <w:b w:val="off"/>
          <w:sz w:val="22"/>
        </w:rPr>
        <w:t>{{SI:F}}</w:t>
      </w:r>
    </w:p>
    <w:p>
      <w:pPr>
        <w:spacing w:after="120"/>
        <w:jc w:val="both"/>
      </w:pPr>
      <w:r>
        <w:rPr>
          <w:b w:val="off"/>
          <w:sz w:val="22"/>
        </w:rPr>
        <w:t>5. Les offres sont déposées sur la plateforme de dépôt ({{B04-SE-02}}) au plus tard le {{B04-LR-03}}, {{B04-LR-04}} et sont ouvertes en séance après l’heure limite de remise des offres. Les offres hors délai ne sont pas recevables.</w:t>
      </w:r>
    </w:p>
    <w:p>
      <w:pPr>
        <w:spacing w:after="120"/>
        <w:jc w:val="both"/>
      </w:pPr>
      <w:r>
        <w:rPr>
          <w:b w:val="off"/>
          <w:sz w:val="22"/>
        </w:rPr>
        <w:t>{{FINSI:F}}</w:t>
      </w:r>
    </w:p>
    <w:p>
      <w:pPr>
        <w:spacing w:after="120"/>
        <w:jc w:val="both"/>
      </w:pPr>
      <w:r>
        <w:rPr>
          <w:b w:val="off"/>
          <w:sz w:val="22"/>
        </w:rPr>
        <w:t>{{SI:T}}</w:t>
      </w:r>
    </w:p>
    <w:p>
      <w:pPr>
        <w:spacing w:after="120"/>
        <w:jc w:val="both"/>
      </w:pPr>
      <w:r>
        <w:rPr>
          <w:b w:val="off"/>
          <w:sz w:val="22"/>
        </w:rPr>
        <w:t>5. Les offres sont déposées sur la plateforme de dépôt ({{B04-SE-02}}) au plus tard le {{B04-OV-02.heureLocale}} et sont ouvertes en séance après l’heure limite de remise des offres. Les offres hors délai ne sont pas recevables.</w:t>
      </w:r>
    </w:p>
    <w:p>
      <w:pPr>
        <w:spacing w:after="120"/>
        <w:jc w:val="both"/>
      </w:pPr>
      <w:r>
        <w:rPr>
          <w:b w:val="off"/>
          <w:sz w:val="22"/>
        </w:rPr>
        <w:t>{{FINSI:T}}</w:t>
      </w:r>
    </w:p>
    <w:p>
      <w:pPr>
        <w:spacing w:after="120"/>
        <w:jc w:val="both"/>
      </w:pPr>
      <w:r>
        <w:rPr>
          <w:b w:val="off"/>
          <w:sz w:val="22"/>
        </w:rPr>
        <w:t>{{SI:SE-OUVERTURE}}</w:t>
      </w:r>
    </w:p>
    <w:p>
      <w:pPr>
        <w:spacing w:after="120"/>
        <w:jc w:val="both"/>
      </w:pPr>
      <w:r>
        <w:rPr>
          <w:b w:val="off"/>
          <w:sz w:val="22"/>
        </w:rPr>
        <w:t>Les dépôts sont ouverts à compter du {{B04-SE-03}}.</w:t>
      </w:r>
    </w:p>
    <w:p>
      <w:pPr>
        <w:spacing w:after="120"/>
        <w:jc w:val="both"/>
      </w:pPr>
      <w:r>
        <w:rPr>
          <w:b w:val="off"/>
          <w:sz w:val="22"/>
        </w:rPr>
        <w:t>{{FINSI:SE-OUVERTURE}}</w:t>
      </w:r>
    </w:p>
    <w:p>
      <w:pPr>
        <w:spacing w:after="120"/>
        <w:jc w:val="both"/>
      </w:pPr>
      <w:r>
        <w:rPr>
          <w:b w:val="off"/>
          <w:sz w:val="22"/>
        </w:rPr>
        <w:t>{{FINSI:ELECTRONIQUE}}</w:t>
      </w:r>
    </w:p>
    <w:p>
      <w:pPr>
        <w:spacing w:after="120"/>
        <w:jc w:val="both"/>
      </w:pPr>
      <w:r>
        <w:rPr>
          <w:b w:val="off"/>
          <w:sz w:val="22"/>
        </w:rPr>
        <w:t>{{SI:GARANTIE-LOTS}}</w:t>
      </w:r>
    </w:p>
    <w:p>
      <w:pPr>
        <w:spacing w:after="120"/>
        <w:jc w:val="both"/>
      </w:pPr>
      <w:r>
        <w:rPr>
          <w:b w:val="off"/>
          <w:sz w:val="22"/>
        </w:rPr>
        <w:t>6. Chaque offre doit être accompagnée d’une garantie de soumission d’un montant de {{B05-GS-03.parLot}}, ou son équivalent en monnaie librement convertible, présentée sous l’une des formes suivantes : soit par caution personnelle et solidaire d’un organisme agréé par le Ministère chargé des Finances, soit par garantie bancaire, soit par chèque de banque.</w:t>
      </w:r>
    </w:p>
    <w:p>
      <w:pPr>
        <w:spacing w:after="120"/>
        <w:jc w:val="both"/>
      </w:pPr>
      <w:r>
        <w:rPr>
          <w:b w:val="off"/>
          <w:sz w:val="22"/>
        </w:rPr>
        <w:t>{{FINSI:GARANTIE-LOTS}}</w:t>
      </w:r>
    </w:p>
    <w:p>
      <w:pPr>
        <w:spacing w:after="120"/>
        <w:jc w:val="both"/>
      </w:pPr>
      <w:r>
        <w:rPr>
          <w:b w:val="off"/>
          <w:sz w:val="22"/>
        </w:rPr>
        <w:t>{{SI:GARANTIE-UNIQUE}}</w:t>
      </w:r>
    </w:p>
    <w:p>
      <w:pPr>
        <w:spacing w:after="120"/>
        <w:jc w:val="both"/>
      </w:pPr>
      <w:r>
        <w:rPr>
          <w:b w:val="off"/>
          <w:sz w:val="22"/>
        </w:rPr>
        <w:t>6. Chaque offre doit être accompagnée d’une garantie de soumission d’un montant de {{B05-GS-03.lettres}} ({{B05-GS-03}}), ou son équivalent en monnaie librement convertible, présentée sous l’une des formes suivantes : soit par caution personnelle et solidaire d’un organisme agréé par le Ministère chargé des Finances, soit par garantie bancaire, soit par chèque de banque.</w:t>
      </w:r>
    </w:p>
    <w:p>
      <w:pPr>
        <w:spacing w:after="120"/>
        <w:jc w:val="both"/>
      </w:pPr>
      <w:r>
        <w:rPr>
          <w:b w:val="off"/>
          <w:sz w:val="22"/>
        </w:rPr>
        <w:t>{{FINSI:GARANTIE-UNIQUE}}</w:t>
      </w:r>
    </w:p>
    <w:p>
      <w:pPr>
        <w:spacing w:after="120"/>
        <w:jc w:val="both"/>
      </w:pPr>
      <w:r>
        <w:rPr>
          <w:b w:val="off"/>
          <w:sz w:val="22"/>
        </w:rPr>
        <w:t>{{SI:GARANTIE-T}}</w:t>
      </w:r>
    </w:p>
    <w:p>
      <w:pPr>
        <w:spacing w:after="120"/>
        <w:jc w:val="both"/>
      </w:pPr>
      <w:r>
        <w:rPr>
          <w:b w:val="off"/>
          <w:sz w:val="22"/>
        </w:rPr>
        <w:t>6. Chaque offre doit être accompagnée d’une garantie de soumission d’un montant de {{B05-GQ-03.lettres}} ({{B05-GQ-03}}), ou son équivalent en monnaie librement convertible, présentée sous l’une des formes suivantes : soit par caution personnelle et solidaire d’un organisme agréé par le Ministère chargé des Finances, soit par garantie bancaire, soit par chèque de banque.</w:t>
      </w:r>
    </w:p>
    <w:p>
      <w:pPr>
        <w:spacing w:after="120"/>
        <w:jc w:val="both"/>
      </w:pPr>
      <w:r>
        <w:rPr>
          <w:b w:val="off"/>
          <w:sz w:val="22"/>
        </w:rPr>
        <w:t>{{FINSI:GARANTIE-T}}</w:t>
      </w:r>
    </w:p>
    <w:p>
      <w:pPr>
        <w:spacing w:after="120"/>
        <w:jc w:val="both"/>
      </w:pPr>
      <w:r>
        <w:rPr>
          <w:b w:val="off"/>
          <w:sz w:val="22"/>
        </w:rPr>
        <w:t>{{SI:SANS-GARANTIE}}</w:t>
      </w:r>
    </w:p>
    <w:p>
      <w:pPr>
        <w:spacing w:after="120"/>
        <w:jc w:val="both"/>
      </w:pPr>
      <w:r>
        <w:rPr>
          <w:b w:val="off"/>
          <w:sz w:val="22"/>
        </w:rPr>
        <w:t>6. La garantie de soumission n’est pas requise.</w:t>
      </w:r>
    </w:p>
    <w:p>
      <w:pPr>
        <w:spacing w:after="120"/>
        <w:jc w:val="both"/>
      </w:pPr>
      <w:r>
        <w:rPr>
          <w:b w:val="off"/>
          <w:sz w:val="22"/>
        </w:rPr>
        <w:t>{{FINSI:SANS-GARANTIE}}</w:t>
      </w:r>
    </w:p>
    <w:p>
      <w:pPr>
        <w:spacing w:after="120"/>
        <w:jc w:val="both"/>
      </w:pPr>
      <w:r>
        <w:rPr>
          <w:b w:val="off"/>
          <w:sz w:val="22"/>
        </w:rPr>
        <w:t>7. Nous vous serions reconnaissants de nous faire savoir, par écrit, dès réception, à l’adresse suivante:</w:t>
      </w:r>
    </w:p>
    <w:p>
      <w:pPr>
        <w:spacing w:after="120"/>
        <w:jc w:val="both"/>
      </w:pPr>
      <w:r>
        <w:rPr>
          <w:b w:val="off"/>
          <w:sz w:val="22"/>
        </w:rPr>
        <w:t>{{B01-AC-02}} ({{B01-AC-06}}):</w:t>
      </w:r>
    </w:p>
    <w:p>
      <w:pPr>
        <w:spacing w:after="120"/>
        <w:jc w:val="both"/>
      </w:pPr>
      <w:r>
        <w:rPr>
          <w:b w:val="off"/>
          <w:sz w:val="22"/>
        </w:rPr>
        <w:t>que vous avez reçu la présente lettre d’invitation ; et</w:t>
      </w:r>
    </w:p>
    <w:p>
      <w:pPr>
        <w:spacing w:after="120"/>
        <w:jc w:val="both"/>
      </w:pPr>
      <w:r>
        <w:rPr>
          <w:b w:val="off"/>
          <w:sz w:val="22"/>
        </w:rPr>
        <w:t>que vous soumissionnerez, seul ou en groupement.</w:t>
      </w:r>
    </w:p>
    <w:p>
      <w:pPr>
        <w:spacing w:after="120"/>
        <w:jc w:val="both"/>
      </w:pPr>
      <w:r>
        <w:rPr>
          <w:b w:val="off"/>
          <w:sz w:val="22"/>
        </w:rPr>
        <w:t>Veuillez agréer, Madame/Monsieur, l’assurance de ma considération distinguée</w:t>
      </w:r>
    </w:p>
    <w:p>
      <w:pPr>
        <w:spacing w:after="120"/>
        <w:jc w:val="both"/>
      </w:pPr>
      <w:r>
        <w:rPr>
          <w:b w:val="off"/>
          <w:sz w:val="22"/>
        </w:rPr>
        <w:t>La Personne Responsable des Marchés Publics</w:t>
      </w:r>
    </w:p>
    <w:p>
      <w:pPr>
        <w:spacing w:after="120"/>
        <w:jc w:val="both"/>
      </w:pPr>
      <w:r>
        <w:rPr>
          <w:b w:val="off"/>
          <w:sz w:val="22"/>
        </w:rPr>
        <w:t>{{B01-AC-05}}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2026-10-18T16:47:48Z</dcterms:created>
  <dc:creator>Apache POI</dc:creator>
</cp:coreProperties>
</file>