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Avis d’Appel d’Offres Ouvert</w:t>
      </w:r>
    </w:p>
    <w:p>
      <w:pPr>
        <w:spacing w:after="120"/>
        <w:jc w:val="center"/>
      </w:pPr>
      <w:r>
        <w:rPr>
          <w:b w:val="off"/>
          <w:sz w:val="22"/>
        </w:rPr>
        <w:t>{{B01-AC-01}}</w:t>
      </w:r>
    </w:p>
    <w:p>
      <w:pPr>
        <w:spacing w:after="120"/>
        <w:jc w:val="center"/>
      </w:pPr>
      <w:r>
        <w:rPr>
          <w:b w:val="off"/>
          <w:sz w:val="22"/>
        </w:rPr>
        <w:t>Avis d’Appel d’Offres Ouvert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center"/>
      </w:pPr>
      <w:r>
        <w:rPr>
          <w:b w:val="off"/>
          <w:sz w:val="22"/>
        </w:rPr>
        <w:t>{{B02-OB-03}} — {{B02-OB-01}}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center"/>
      </w:pPr>
      <w:r>
        <w:rPr>
          <w:b w:val="off"/>
          <w:sz w:val="22"/>
        </w:rPr>
        <w:t>{{B02-OE-01}} — {{B02-OB-01}}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center"/>
      </w:pPr>
      <w:r>
        <w:rPr>
          <w:b w:val="off"/>
          <w:sz w:val="22"/>
        </w:rPr>
        <w:t>{{AVIS.date-publication}}</w:t>
      </w:r>
    </w:p>
    <w:p>
      <w:pPr>
        <w:spacing w:after="120"/>
        <w:jc w:val="both"/>
      </w:pPr>
      <w:r>
        <w:rPr>
          <w:b w:val="off"/>
          <w:sz w:val="22"/>
        </w:rPr>
        <w:t>Cet Avis spécifique d’Appel d’Offres Ouvert fait suite à l’Avis Général de Passation des Marchés publié dans le Journal des Marchés Publics n°{{AVIS.jmp-numero}} en date du {{AVIS.jmp-date}} et dans {{AVIS.supports}}.</w:t>
      </w:r>
    </w:p>
    <w:p>
      <w:pPr>
        <w:spacing w:after="120"/>
        <w:jc w:val="both"/>
      </w:pPr>
      <w:r>
        <w:rPr>
          <w:b w:val="off"/>
          <w:sz w:val="22"/>
        </w:rPr>
        <w:t>{{SI:ORDINAIRE-ALLOTI}}</w:t>
      </w:r>
    </w:p>
    <w:p>
      <w:pPr>
        <w:spacing w:after="120"/>
        <w:jc w:val="both"/>
      </w:pPr>
      <w:r>
        <w:rPr>
          <w:b w:val="off"/>
          <w:sz w:val="22"/>
        </w:rPr>
        <w:t>Le {{B01-AC-01}} sollicite de la part des candidats intéressés des offres sous plis fermés pour fournir {{B02-OB-01}}. Les fournitures sont réparties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{{FINSI:ORDINAIRE-ALLOTI}}</w:t>
      </w:r>
    </w:p>
    <w:p>
      <w:pPr>
        <w:spacing w:after="120"/>
        <w:jc w:val="both"/>
      </w:pPr>
      <w:r>
        <w:rPr>
          <w:b w:val="off"/>
          <w:sz w:val="22"/>
        </w:rPr>
        <w:t>{{SI:ORDINAIRE-LOT-UNIQUE}}</w:t>
      </w:r>
    </w:p>
    <w:p>
      <w:pPr>
        <w:spacing w:after="120"/>
        <w:jc w:val="both"/>
      </w:pPr>
      <w:r>
        <w:rPr>
          <w:b w:val="off"/>
          <w:sz w:val="22"/>
        </w:rPr>
        <w:t>Le {{B01-AC-01}} sollicite de la part des candidats intéressés des offres sous plis fermés pour fournir {{B02-OB-01}}. Les fournitures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{{FINSI:ORDINAIRE-LOT-UNIQUE}}</w:t>
      </w:r>
    </w:p>
    <w:p>
      <w:pPr>
        <w:spacing w:after="120"/>
        <w:jc w:val="both"/>
      </w:pPr>
      <w:r>
        <w:rPr>
          <w:b w:val="off"/>
          <w:sz w:val="22"/>
        </w:rPr>
        <w:t>{{SI:CC-ALLOTI}}</w:t>
      </w:r>
    </w:p>
    <w:p>
      <w:pPr>
        <w:spacing w:after="120"/>
        <w:jc w:val="both"/>
      </w:pPr>
      <w:r>
        <w:rPr>
          <w:b w:val="off"/>
          <w:sz w:val="22"/>
        </w:rPr>
        <w:t>Le {{B01-AC-01}} sollicite de la part des candidats intéressés des offres et des candidatures sous plis fermés pour fournir {{B02-OB-01}}. Les fournitures sont réparties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{{FINSI:CC-ALLOTI}}</w:t>
      </w:r>
    </w:p>
    <w:p>
      <w:pPr>
        <w:spacing w:after="120"/>
        <w:jc w:val="both"/>
      </w:pPr>
      <w:r>
        <w:rPr>
          <w:b w:val="off"/>
          <w:sz w:val="22"/>
        </w:rPr>
        <w:t>{{SI:CC-LOT-UNIQUE}}</w:t>
      </w:r>
    </w:p>
    <w:p>
      <w:pPr>
        <w:spacing w:after="120"/>
        <w:jc w:val="both"/>
      </w:pPr>
      <w:r>
        <w:rPr>
          <w:b w:val="off"/>
          <w:sz w:val="22"/>
        </w:rPr>
        <w:t>Le {{B01-AC-01}} sollicite de la part des candidats intéressés des offres et des candidatures sous plis fermés pour fournir {{B02-OB-01}}. Les fournitures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{{FINSI:CC-LOT-UNIQUE}}</w:t>
      </w:r>
    </w:p>
    <w:p>
      <w:pPr>
        <w:spacing w:after="120"/>
        <w:jc w:val="both"/>
      </w:pPr>
      <w:r>
        <w:rPr>
          <w:b w:val="off"/>
          <w:sz w:val="22"/>
        </w:rPr>
        <w:t>{{SI:QF-UNITAIRES}}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à quantités fixes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{{FINSI:QF-UNITAIRES}}</w:t>
      </w:r>
    </w:p>
    <w:p>
      <w:pPr>
        <w:spacing w:after="120"/>
        <w:jc w:val="both"/>
      </w:pPr>
      <w:r>
        <w:rPr>
          <w:b w:val="off"/>
          <w:sz w:val="22"/>
        </w:rPr>
        <w:t>{{SI:QF-FORFAITAIRE}}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à quantités fixes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{{FINSI:QF-FORFAITAIRE}}</w:t>
      </w:r>
    </w:p>
    <w:p>
      <w:pPr>
        <w:spacing w:after="120"/>
        <w:jc w:val="both"/>
      </w:pPr>
      <w:r>
        <w:rPr>
          <w:b w:val="off"/>
          <w:sz w:val="22"/>
        </w:rPr>
        <w:t>{{SI:AC-UNITAIRES}}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à commandes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{{FINSI:AC-UNITAIRES}}</w:t>
      </w:r>
    </w:p>
    <w:p>
      <w:pPr>
        <w:spacing w:after="120"/>
        <w:jc w:val="both"/>
      </w:pPr>
      <w:r>
        <w:rPr>
          <w:b w:val="off"/>
          <w:sz w:val="22"/>
        </w:rPr>
        <w:t>{{SI:AC-FORFAITAIRE}}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à commandes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{{FINSI:AC-FORFAITAIRE}}</w:t>
      </w:r>
    </w:p>
    <w:p>
      <w:pPr>
        <w:spacing w:after="120"/>
        <w:jc w:val="both"/>
      </w:pPr>
      <w:r>
        <w:rPr>
          <w:b w:val="off"/>
          <w:sz w:val="22"/>
        </w:rPr>
        <w:t>{{SI:CC-UNITAIRES}}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contrat-cadre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{{FINSI:CC-UNITAIRES}}</w:t>
      </w:r>
    </w:p>
    <w:p>
      <w:pPr>
        <w:spacing w:after="120"/>
        <w:jc w:val="both"/>
      </w:pPr>
      <w:r>
        <w:rPr>
          <w:b w:val="off"/>
          <w:sz w:val="22"/>
        </w:rPr>
        <w:t>{{SI:CC-FORFAITAIRE}}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contrat-cadre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{{FINSI:CC-FORFAITAIRE}}</w:t>
      </w:r>
    </w:p>
    <w:p>
      <w:pPr>
        <w:spacing w:after="120"/>
        <w:jc w:val="both"/>
      </w:pPr>
      <w:r>
        <w:rPr>
          <w:b w:val="off"/>
          <w:sz w:val="22"/>
        </w:rPr>
        <w:t>Le Dossier d’Appel d’Offres complet, rédigé en langue française, peut être consulté par tout candidat désirant prendre connaissance ou obtenir des informations à l’adresse ci-après :</w:t>
      </w:r>
    </w:p>
    <w:p>
      <w:pPr>
        <w:spacing w:after="120"/>
        <w:jc w:val="both"/>
      </w:pPr>
      <w:r>
        <w:rPr>
          <w:b w:val="off"/>
          <w:sz w:val="22"/>
        </w:rPr>
        <w:t>{{B04-DS-07}}</w:t>
      </w:r>
    </w:p>
    <w:p>
      <w:pPr>
        <w:spacing w:after="120"/>
        <w:jc w:val="both"/>
      </w:pPr>
      <w:r>
        <w:rPr>
          <w:b w:val="off"/>
          <w:sz w:val="22"/>
        </w:rPr>
        <w:t>{{B04-DS-08}}</w:t>
      </w:r>
    </w:p>
    <w:p>
      <w:pPr>
        <w:spacing w:after="120"/>
        <w:jc w:val="both"/>
      </w:pPr>
      <w:r>
        <w:rPr>
          <w:b w:val="off"/>
          <w:sz w:val="22"/>
        </w:rPr>
        <w:t>{{B04-DS-09}}, {{B04-DS-10}}</w:t>
      </w:r>
    </w:p>
    <w:p>
      <w:pPr>
        <w:spacing w:after="120"/>
        <w:jc w:val="both"/>
      </w:pPr>
      <w:r>
        <w:rPr>
          <w:b w:val="off"/>
          <w:sz w:val="22"/>
        </w:rPr>
        <w:t>{{SI:CONSULTATION-EMAIL}}</w:t>
      </w:r>
    </w:p>
    <w:p>
      <w:pPr>
        <w:spacing w:after="120"/>
        <w:jc w:val="both"/>
      </w:pPr>
      <w:r>
        <w:rPr>
          <w:b w:val="off"/>
          <w:sz w:val="22"/>
        </w:rPr>
        <w:t>{{B04-DS-11}}</w:t>
      </w:r>
    </w:p>
    <w:p>
      <w:pPr>
        <w:spacing w:after="120"/>
        <w:jc w:val="both"/>
      </w:pPr>
      <w:r>
        <w:rPr>
          <w:b w:val="off"/>
          <w:sz w:val="22"/>
        </w:rPr>
        <w:t>{{FINSI:CONSULTATION-EMAIL}}</w:t>
      </w:r>
    </w:p>
    <w:p>
      <w:pPr>
        <w:spacing w:after="120"/>
        <w:jc w:val="both"/>
      </w:pPr>
      <w:r>
        <w:rPr>
          <w:b w:val="off"/>
          <w:sz w:val="22"/>
        </w:rPr>
        <w:t>Pour le (ou les) candidat(s) désirant soumissionner, le Dossier d’Appel d’Offres doit être retiré auprès de l’Autorité contractante moyennant le paiement d’un montant non remboursable de :</w:t>
      </w:r>
    </w:p>
    <w:p>
      <w:pPr>
        <w:spacing w:after="120"/>
        <w:jc w:val="both"/>
      </w:pPr>
      <w:r>
        <w:rPr>
          <w:b w:val="off"/>
          <w:sz w:val="22"/>
        </w:rPr>
        <w:t>- {{B04-DS-05.lettres}} (Ar {{B04-DS-05.chiffres}}) ou son équivalent en monnaie librement convertible libellé au nom de l’Agent comptable de l’ARMP ou au nom du régisseur de recettes de l’ARMP.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both"/>
      </w:pPr>
      <w:r>
        <w:rPr>
          <w:b w:val="off"/>
          <w:sz w:val="22"/>
        </w:rPr>
        <w:t>Les plis devront parvenir à {{B04-LR-02}} au plus tard le {{B04-LR-03}}, {{B04-LR-04}}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Les plis devront parvenir à {{B04-RQ-03}} au plus tard le {{B04-CP-02}}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{{SI:ELECTRONIQUE}}</w:t>
      </w:r>
    </w:p>
    <w:p>
      <w:pPr>
        <w:spacing w:after="120"/>
        <w:jc w:val="both"/>
      </w:pPr>
      <w:r>
        <w:rPr>
          <w:b w:val="off"/>
          <w:sz w:val="22"/>
        </w:rPr>
        <w:t>La soumission des offres par voie électronique sera autorisée.</w:t>
      </w:r>
    </w:p>
    <w:p>
      <w:pPr>
        <w:spacing w:after="120"/>
        <w:jc w:val="both"/>
      </w:pPr>
      <w:r>
        <w:rPr>
          <w:b w:val="off"/>
          <w:sz w:val="22"/>
        </w:rPr>
        <w:t>{{FINSI:ELECTRONIQUE}}</w:t>
      </w:r>
    </w:p>
    <w:p>
      <w:pPr>
        <w:spacing w:after="120"/>
        <w:jc w:val="both"/>
      </w:pPr>
      <w:r>
        <w:rPr>
          <w:b w:val="off"/>
          <w:sz w:val="22"/>
        </w:rPr>
        <w:t>{{SI:PAPIER}}</w:t>
      </w:r>
    </w:p>
    <w:p>
      <w:pPr>
        <w:spacing w:after="120"/>
        <w:jc w:val="both"/>
      </w:pPr>
      <w:r>
        <w:rPr>
          <w:b w:val="off"/>
          <w:sz w:val="22"/>
        </w:rPr>
        <w:t>La soumission des offres par voie électronique ne sera pas autorisée.</w:t>
      </w:r>
    </w:p>
    <w:p>
      <w:pPr>
        <w:spacing w:after="120"/>
        <w:jc w:val="both"/>
      </w:pPr>
      <w:r>
        <w:rPr>
          <w:b w:val="off"/>
          <w:sz w:val="22"/>
        </w:rPr>
        <w:t>{{FINSI:PAPIER}}</w:t>
      </w:r>
    </w:p>
    <w:p>
      <w:pPr>
        <w:spacing w:after="120"/>
        <w:jc w:val="both"/>
      </w:pPr>
      <w:r>
        <w:rPr>
          <w:b w:val="off"/>
          <w:sz w:val="22"/>
        </w:rPr>
        <w:t>{{SI:GARANTIE-LOTS}}</w:t>
      </w:r>
    </w:p>
    <w:p>
      <w:pPr>
        <w:spacing w:after="120"/>
        <w:jc w:val="both"/>
      </w:pPr>
      <w:r>
        <w:rPr>
          <w:b w:val="off"/>
          <w:sz w:val="22"/>
        </w:rPr>
        <w:t>Chaque offre doit être accompagnée d’une garantie de soumission d’un montant de {{B05-GS-03.parLot}},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{{FINSI:GARANTIE-LOTS}}</w:t>
      </w:r>
    </w:p>
    <w:p>
      <w:pPr>
        <w:spacing w:after="120"/>
        <w:jc w:val="both"/>
      </w:pPr>
      <w:r>
        <w:rPr>
          <w:b w:val="off"/>
          <w:sz w:val="22"/>
        </w:rPr>
        <w:t>{{SI:GARANTIE-UNIQUE}}</w:t>
      </w:r>
    </w:p>
    <w:p>
      <w:pPr>
        <w:spacing w:after="120"/>
        <w:jc w:val="both"/>
      </w:pPr>
      <w:r>
        <w:rPr>
          <w:b w:val="off"/>
          <w:sz w:val="22"/>
        </w:rPr>
        <w:t>Chaque offre doit être accompagnée d’une garantie de soumission d’un montant de {{B05-GS-03.lettres}} ({{B05-GS-03}}),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{{FINSI:GARANTIE-UNIQUE}}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Les titulaires du contrat-cadre issu du présent appel d’offres seront ultérieurement invités à participer à la passation des marchés subséquents.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La Personne Responsable des Marchés Publics</w:t>
      </w:r>
    </w:p>
    <w:p>
      <w:pPr>
        <w:spacing w:after="120"/>
        <w:jc w:val="both"/>
      </w:pPr>
      <w:r>
        <w:rPr>
          <w:b w:val="off"/>
          <w:sz w:val="22"/>
        </w:rPr>
        <w:t>{{B01-AC-05}}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2026-09-30T08:22:46Z</dcterms:created>
  <dc:creator>Apache POI</dc:creator>
</cp:coreProperties>
</file>