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color w:val="3182bd"/>
          <w:sz w:val="28"/>
          <w:szCs w:val="28"/>
        </w:rPr>
      </w:pPr>
      <w:r w:rsidDel="00000000" w:rsidR="00000000" w:rsidRPr="00000000">
        <w:rPr>
          <w:color w:val="3182bd"/>
          <w:sz w:val="28"/>
          <w:szCs w:val="28"/>
          <w:rtl w:val="0"/>
        </w:rPr>
        <w:t xml:space="preserve">Scientific Visualization Project</w:t>
      </w:r>
    </w:p>
    <w:p w:rsidR="00000000" w:rsidDel="00000000" w:rsidP="00000000" w:rsidRDefault="00000000" w:rsidRPr="00000000" w14:paraId="00000002">
      <w:pPr>
        <w:pageBreakBefore w:val="0"/>
        <w:jc w:val="center"/>
        <w:rPr>
          <w:color w:val="3182bd"/>
          <w:sz w:val="28"/>
          <w:szCs w:val="28"/>
        </w:rPr>
      </w:pPr>
      <w:r w:rsidDel="00000000" w:rsidR="00000000" w:rsidRPr="00000000">
        <w:rPr>
          <w:color w:val="3182bd"/>
          <w:sz w:val="28"/>
          <w:szCs w:val="28"/>
          <w:rtl w:val="0"/>
        </w:rPr>
        <w:t xml:space="preserve">Open Enrollment Plan Selection - 2020 Analysis using Observable &amp; Vegalite</w:t>
      </w:r>
    </w:p>
    <w:p w:rsidR="00000000" w:rsidDel="00000000" w:rsidP="00000000" w:rsidRDefault="00000000" w:rsidRPr="00000000" w14:paraId="00000003">
      <w:pPr>
        <w:pageBreakBefore w:val="0"/>
        <w:jc w:val="center"/>
        <w:rPr>
          <w:color w:val="3182bd"/>
          <w:sz w:val="28"/>
          <w:szCs w:val="28"/>
        </w:rPr>
      </w:pPr>
      <w:r w:rsidDel="00000000" w:rsidR="00000000" w:rsidRPr="00000000">
        <w:rPr>
          <w:rtl w:val="0"/>
        </w:rPr>
      </w:r>
    </w:p>
    <w:p w:rsidR="00000000" w:rsidDel="00000000" w:rsidP="00000000" w:rsidRDefault="00000000" w:rsidRPr="00000000" w14:paraId="00000004">
      <w:pPr>
        <w:pageBreakBefore w:val="0"/>
        <w:jc w:val="center"/>
        <w:rPr>
          <w:color w:val="3182bd"/>
          <w:sz w:val="28"/>
          <w:szCs w:val="28"/>
        </w:rPr>
      </w:pPr>
      <w:r w:rsidDel="00000000" w:rsidR="00000000" w:rsidRPr="00000000">
        <w:rPr>
          <w:color w:val="3182bd"/>
          <w:sz w:val="28"/>
          <w:szCs w:val="28"/>
          <w:rtl w:val="0"/>
        </w:rPr>
        <w:t xml:space="preserve">Created By: Lavanya Rao</w:t>
      </w:r>
    </w:p>
    <w:p w:rsidR="00000000" w:rsidDel="00000000" w:rsidP="00000000" w:rsidRDefault="00000000" w:rsidRPr="00000000" w14:paraId="00000005">
      <w:pPr>
        <w:pageBreakBefore w:val="0"/>
        <w:jc w:val="left"/>
        <w:rPr>
          <w:sz w:val="28"/>
          <w:szCs w:val="28"/>
        </w:rPr>
      </w:pPr>
      <w:r w:rsidDel="00000000" w:rsidR="00000000" w:rsidRPr="00000000">
        <w:rPr>
          <w:rtl w:val="0"/>
        </w:rPr>
      </w:r>
    </w:p>
    <w:p w:rsidR="00000000" w:rsidDel="00000000" w:rsidP="00000000" w:rsidRDefault="00000000" w:rsidRPr="00000000" w14:paraId="00000006">
      <w:pPr>
        <w:pageBreakBefore w:val="0"/>
        <w:jc w:val="left"/>
        <w:rPr>
          <w:color w:val="3182bd"/>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ageBreakBefore w:val="0"/>
        <w:jc w:val="left"/>
        <w:rPr>
          <w:b w:val="1"/>
          <w:color w:val="3182bd"/>
          <w:sz w:val="20"/>
          <w:szCs w:val="20"/>
        </w:rPr>
      </w:pPr>
      <w:r w:rsidDel="00000000" w:rsidR="00000000" w:rsidRPr="00000000">
        <w:rPr>
          <w:b w:val="1"/>
          <w:color w:val="4a86e8"/>
          <w:sz w:val="20"/>
          <w:szCs w:val="20"/>
          <w:rtl w:val="0"/>
        </w:rPr>
        <w:t xml:space="preserve">Abstract:</w:t>
      </w:r>
      <w:r w:rsidDel="00000000" w:rsidR="00000000" w:rsidRPr="00000000">
        <w:rPr>
          <w:b w:val="1"/>
          <w:color w:val="3182bd"/>
          <w:sz w:val="20"/>
          <w:szCs w:val="20"/>
          <w:rtl w:val="0"/>
        </w:rPr>
        <w:t xml:space="preserve"> </w:t>
      </w:r>
    </w:p>
    <w:p w:rsidR="00000000" w:rsidDel="00000000" w:rsidP="00000000" w:rsidRDefault="00000000" w:rsidRPr="00000000" w14:paraId="00000008">
      <w:pPr>
        <w:pageBreakBefore w:val="0"/>
        <w:jc w:val="left"/>
        <w:rPr>
          <w:color w:val="1b1e23"/>
          <w:sz w:val="20"/>
          <w:szCs w:val="20"/>
        </w:rPr>
      </w:pPr>
      <w:r w:rsidDel="00000000" w:rsidR="00000000" w:rsidRPr="00000000">
        <w:rPr>
          <w:color w:val="3182bd"/>
          <w:sz w:val="20"/>
          <w:szCs w:val="20"/>
          <w:rtl w:val="0"/>
        </w:rPr>
        <w:tab/>
      </w:r>
      <w:r w:rsidDel="00000000" w:rsidR="00000000" w:rsidRPr="00000000">
        <w:rPr>
          <w:color w:val="1b1e23"/>
          <w:sz w:val="20"/>
          <w:szCs w:val="20"/>
          <w:rtl w:val="0"/>
        </w:rPr>
        <w:t xml:space="preserve">Charts have been one of the most popular ways of displaying data and inviting further exploration on data. Charts can be used in situations where a simple table may not be able to efficiently convey/demonstrate the data. There are multiple tools available to create charts. In this project, I have used the vegalite language on an Observable notebook to create charts and visualize the healthcare Plan data from the CMS website.</w:t>
      </w:r>
    </w:p>
    <w:p w:rsidR="00000000" w:rsidDel="00000000" w:rsidP="00000000" w:rsidRDefault="00000000" w:rsidRPr="00000000" w14:paraId="00000009">
      <w:pPr>
        <w:pageBreakBefore w:val="0"/>
        <w:jc w:val="left"/>
        <w:rPr>
          <w:color w:val="3182bd"/>
          <w:sz w:val="20"/>
          <w:szCs w:val="20"/>
        </w:rPr>
      </w:pPr>
      <w:r w:rsidDel="00000000" w:rsidR="00000000" w:rsidRPr="00000000">
        <w:rPr>
          <w:rtl w:val="0"/>
        </w:rPr>
      </w:r>
    </w:p>
    <w:p w:rsidR="00000000" w:rsidDel="00000000" w:rsidP="00000000" w:rsidRDefault="00000000" w:rsidRPr="00000000" w14:paraId="0000000A">
      <w:pPr>
        <w:pageBreakBefore w:val="0"/>
        <w:jc w:val="left"/>
        <w:rPr>
          <w:b w:val="1"/>
          <w:color w:val="3182bd"/>
          <w:sz w:val="20"/>
          <w:szCs w:val="20"/>
        </w:rPr>
      </w:pPr>
      <w:r w:rsidDel="00000000" w:rsidR="00000000" w:rsidRPr="00000000">
        <w:rPr>
          <w:b w:val="1"/>
          <w:color w:val="3182bd"/>
          <w:sz w:val="20"/>
          <w:szCs w:val="20"/>
          <w:rtl w:val="0"/>
        </w:rPr>
        <w:t xml:space="preserve">Introduction:</w:t>
      </w:r>
    </w:p>
    <w:p w:rsidR="00000000" w:rsidDel="00000000" w:rsidP="00000000" w:rsidRDefault="00000000" w:rsidRPr="00000000" w14:paraId="0000000B">
      <w:pPr>
        <w:pageBreakBefore w:val="0"/>
        <w:jc w:val="left"/>
        <w:rPr>
          <w:sz w:val="20"/>
          <w:szCs w:val="20"/>
        </w:rPr>
      </w:pPr>
      <w:r w:rsidDel="00000000" w:rsidR="00000000" w:rsidRPr="00000000">
        <w:rPr>
          <w:rtl w:val="0"/>
        </w:rPr>
      </w:r>
    </w:p>
    <w:p w:rsidR="00000000" w:rsidDel="00000000" w:rsidP="00000000" w:rsidRDefault="00000000" w:rsidRPr="00000000" w14:paraId="0000000C">
      <w:pPr>
        <w:pageBreakBefore w:val="0"/>
        <w:jc w:val="both"/>
        <w:rPr>
          <w:sz w:val="20"/>
          <w:szCs w:val="20"/>
        </w:rPr>
      </w:pPr>
      <w:r w:rsidDel="00000000" w:rsidR="00000000" w:rsidRPr="00000000">
        <w:rPr>
          <w:sz w:val="20"/>
          <w:szCs w:val="20"/>
          <w:rtl w:val="0"/>
        </w:rPr>
        <w:tab/>
        <w:t xml:space="preserve">This project on Scientific Visualization is created using the Observable HQ with Vegalite. Observable HQ is very similar to javascript, but at the same time offers some changed behaviours than javascript. Observable is built on the native language of the web and hence is more familiar and you can use libraries such as D3, tensorflow etc. </w:t>
      </w:r>
    </w:p>
    <w:p w:rsidR="00000000" w:rsidDel="00000000" w:rsidP="00000000" w:rsidRDefault="00000000" w:rsidRPr="00000000" w14:paraId="0000000D">
      <w:pPr>
        <w:pageBreakBefore w:val="0"/>
        <w:jc w:val="both"/>
        <w:rPr>
          <w:sz w:val="20"/>
          <w:szCs w:val="20"/>
        </w:rPr>
      </w:pPr>
      <w:r w:rsidDel="00000000" w:rsidR="00000000" w:rsidRPr="00000000">
        <w:rPr>
          <w:sz w:val="20"/>
          <w:szCs w:val="20"/>
          <w:rtl w:val="0"/>
        </w:rPr>
        <w:tab/>
        <w:t xml:space="preserve">For rapid charting and fast exploration of data in observable HQ, Vegalite is recommended. Hence the project uses the basic features of chart creation using vegalite on an observable notebook to analyze the Health Insurance Exchange’s Open Enrollment data for 2020. The data is derived from the Center of Medicare and Medicaid services’ 2020 OEP. </w:t>
      </w:r>
    </w:p>
    <w:p w:rsidR="00000000" w:rsidDel="00000000" w:rsidP="00000000" w:rsidRDefault="00000000" w:rsidRPr="00000000" w14:paraId="0000000E">
      <w:pPr>
        <w:pageBreakBefore w:val="0"/>
        <w:jc w:val="both"/>
        <w:rPr>
          <w:sz w:val="20"/>
          <w:szCs w:val="20"/>
        </w:rPr>
      </w:pPr>
      <w:r w:rsidDel="00000000" w:rsidR="00000000" w:rsidRPr="00000000">
        <w:rPr>
          <w:sz w:val="20"/>
          <w:szCs w:val="20"/>
          <w:rtl w:val="0"/>
        </w:rPr>
        <w:tab/>
      </w:r>
      <w:r w:rsidDel="00000000" w:rsidR="00000000" w:rsidRPr="00000000">
        <w:rPr>
          <w:sz w:val="20"/>
          <w:szCs w:val="20"/>
          <w:highlight w:val="white"/>
          <w:rtl w:val="0"/>
        </w:rPr>
        <w:t xml:space="preserve">The state-level PUF includes total health plan selections in all 50 states plus the District of Columbia. The PUF provides state-level data on metrics such as average monthly premium, financial assistance, age, gender, metal level, self-reported race and ethnicity, rural location, household income as a percent of the federal poverty level (FPL), and plan switching behavior among consumers with a plan selection. </w:t>
      </w:r>
      <w:r w:rsidDel="00000000" w:rsidR="00000000" w:rsidRPr="00000000">
        <w:rPr>
          <w:rtl w:val="0"/>
        </w:rPr>
      </w:r>
    </w:p>
    <w:p w:rsidR="00000000" w:rsidDel="00000000" w:rsidP="00000000" w:rsidRDefault="00000000" w:rsidRPr="00000000" w14:paraId="0000000F">
      <w:pPr>
        <w:pageBreakBefore w:val="0"/>
        <w:jc w:val="left"/>
        <w:rPr>
          <w:sz w:val="20"/>
          <w:szCs w:val="20"/>
        </w:rPr>
      </w:pPr>
      <w:r w:rsidDel="00000000" w:rsidR="00000000" w:rsidRPr="00000000">
        <w:rPr>
          <w:rtl w:val="0"/>
        </w:rPr>
      </w:r>
    </w:p>
    <w:p w:rsidR="00000000" w:rsidDel="00000000" w:rsidP="00000000" w:rsidRDefault="00000000" w:rsidRPr="00000000" w14:paraId="00000010">
      <w:pPr>
        <w:pageBreakBefore w:val="0"/>
        <w:jc w:val="left"/>
        <w:rPr>
          <w:b w:val="1"/>
          <w:color w:val="3182bd"/>
          <w:sz w:val="20"/>
          <w:szCs w:val="20"/>
        </w:rPr>
      </w:pPr>
      <w:r w:rsidDel="00000000" w:rsidR="00000000" w:rsidRPr="00000000">
        <w:rPr>
          <w:b w:val="1"/>
          <w:color w:val="3182bd"/>
          <w:sz w:val="20"/>
          <w:szCs w:val="20"/>
          <w:rtl w:val="0"/>
        </w:rPr>
        <w:t xml:space="preserve">Project Details:</w:t>
      </w:r>
    </w:p>
    <w:p w:rsidR="00000000" w:rsidDel="00000000" w:rsidP="00000000" w:rsidRDefault="00000000" w:rsidRPr="00000000" w14:paraId="00000011">
      <w:pPr>
        <w:pageBreakBefore w:val="0"/>
        <w:jc w:val="left"/>
        <w:rPr>
          <w:color w:val="3182bd"/>
          <w:sz w:val="20"/>
          <w:szCs w:val="20"/>
        </w:rPr>
      </w:pPr>
      <w:r w:rsidDel="00000000" w:rsidR="00000000" w:rsidRPr="00000000">
        <w:rPr>
          <w:rtl w:val="0"/>
        </w:rPr>
      </w:r>
    </w:p>
    <w:p w:rsidR="00000000" w:rsidDel="00000000" w:rsidP="00000000" w:rsidRDefault="00000000" w:rsidRPr="00000000" w14:paraId="00000012">
      <w:pPr>
        <w:pageBreakBefore w:val="0"/>
        <w:jc w:val="left"/>
        <w:rPr>
          <w:b w:val="1"/>
          <w:color w:val="3182bd"/>
          <w:sz w:val="20"/>
          <w:szCs w:val="20"/>
        </w:rPr>
      </w:pPr>
      <w:r w:rsidDel="00000000" w:rsidR="00000000" w:rsidRPr="00000000">
        <w:rPr>
          <w:b w:val="1"/>
          <w:color w:val="3182bd"/>
          <w:sz w:val="20"/>
          <w:szCs w:val="20"/>
          <w:rtl w:val="0"/>
        </w:rPr>
        <w:t xml:space="preserve">Introduction to Observable:</w:t>
      </w:r>
    </w:p>
    <w:p w:rsidR="00000000" w:rsidDel="00000000" w:rsidP="00000000" w:rsidRDefault="00000000" w:rsidRPr="00000000" w14:paraId="00000013">
      <w:pPr>
        <w:pageBreakBefore w:val="0"/>
        <w:numPr>
          <w:ilvl w:val="0"/>
          <w:numId w:val="3"/>
        </w:numPr>
        <w:ind w:left="0" w:hanging="360"/>
        <w:jc w:val="left"/>
        <w:rPr>
          <w:color w:val="1b1e23"/>
          <w:sz w:val="20"/>
          <w:szCs w:val="20"/>
        </w:rPr>
      </w:pPr>
      <w:r w:rsidDel="00000000" w:rsidR="00000000" w:rsidRPr="00000000">
        <w:rPr>
          <w:color w:val="1b1e23"/>
          <w:sz w:val="20"/>
          <w:szCs w:val="20"/>
          <w:rtl w:val="0"/>
        </w:rPr>
        <w:t xml:space="preserve">Each cell in an observable notebook is a separate script that runs independently.</w:t>
      </w:r>
    </w:p>
    <w:p w:rsidR="00000000" w:rsidDel="00000000" w:rsidP="00000000" w:rsidRDefault="00000000" w:rsidRPr="00000000" w14:paraId="00000014">
      <w:pPr>
        <w:pageBreakBefore w:val="0"/>
        <w:numPr>
          <w:ilvl w:val="0"/>
          <w:numId w:val="3"/>
        </w:numPr>
        <w:ind w:left="0" w:hanging="360"/>
        <w:jc w:val="left"/>
        <w:rPr>
          <w:color w:val="1b1e23"/>
          <w:sz w:val="20"/>
          <w:szCs w:val="20"/>
          <w:u w:val="none"/>
        </w:rPr>
      </w:pPr>
      <w:r w:rsidDel="00000000" w:rsidR="00000000" w:rsidRPr="00000000">
        <w:rPr>
          <w:color w:val="1b1e23"/>
          <w:sz w:val="20"/>
          <w:szCs w:val="20"/>
          <w:rtl w:val="0"/>
        </w:rPr>
        <w:t xml:space="preserve">The cells run in topological order, so you can arrange the cells as you want the order of the code.</w:t>
      </w:r>
    </w:p>
    <w:p w:rsidR="00000000" w:rsidDel="00000000" w:rsidP="00000000" w:rsidRDefault="00000000" w:rsidRPr="00000000" w14:paraId="00000015">
      <w:pPr>
        <w:pageBreakBefore w:val="0"/>
        <w:numPr>
          <w:ilvl w:val="0"/>
          <w:numId w:val="3"/>
        </w:numPr>
        <w:ind w:left="0" w:hanging="360"/>
        <w:jc w:val="left"/>
        <w:rPr>
          <w:color w:val="1b1e23"/>
          <w:sz w:val="20"/>
          <w:szCs w:val="20"/>
          <w:u w:val="none"/>
        </w:rPr>
      </w:pPr>
      <w:r w:rsidDel="00000000" w:rsidR="00000000" w:rsidRPr="00000000">
        <w:rPr>
          <w:color w:val="1b1e23"/>
          <w:sz w:val="20"/>
          <w:szCs w:val="20"/>
          <w:rtl w:val="0"/>
        </w:rPr>
        <w:t xml:space="preserve">Cells rerun automatically when the value of any other referenced cell changes. </w:t>
      </w:r>
    </w:p>
    <w:p w:rsidR="00000000" w:rsidDel="00000000" w:rsidP="00000000" w:rsidRDefault="00000000" w:rsidRPr="00000000" w14:paraId="00000016">
      <w:pPr>
        <w:pageBreakBefore w:val="0"/>
        <w:numPr>
          <w:ilvl w:val="0"/>
          <w:numId w:val="3"/>
        </w:numPr>
        <w:ind w:left="0" w:hanging="360"/>
        <w:jc w:val="left"/>
        <w:rPr>
          <w:color w:val="1b1e23"/>
          <w:sz w:val="20"/>
          <w:szCs w:val="20"/>
        </w:rPr>
      </w:pPr>
      <w:r w:rsidDel="00000000" w:rsidR="00000000" w:rsidRPr="00000000">
        <w:rPr>
          <w:color w:val="1b1e23"/>
          <w:sz w:val="20"/>
          <w:szCs w:val="20"/>
          <w:rtl w:val="0"/>
        </w:rPr>
        <w:t xml:space="preserve">A cell can be defined with a promise and if it is done, the referencing cell won’t run until the value resolves.</w:t>
      </w:r>
    </w:p>
    <w:p w:rsidR="00000000" w:rsidDel="00000000" w:rsidP="00000000" w:rsidRDefault="00000000" w:rsidRPr="00000000" w14:paraId="00000017">
      <w:pPr>
        <w:pageBreakBefore w:val="0"/>
        <w:numPr>
          <w:ilvl w:val="0"/>
          <w:numId w:val="3"/>
        </w:numPr>
        <w:ind w:left="0" w:hanging="360"/>
        <w:jc w:val="left"/>
        <w:rPr>
          <w:color w:val="1b1e23"/>
          <w:sz w:val="20"/>
          <w:szCs w:val="20"/>
        </w:rPr>
      </w:pPr>
      <w:r w:rsidDel="00000000" w:rsidR="00000000" w:rsidRPr="00000000">
        <w:rPr>
          <w:color w:val="1b1e23"/>
          <w:sz w:val="20"/>
          <w:szCs w:val="20"/>
          <w:rtl w:val="0"/>
        </w:rPr>
        <w:t xml:space="preserve">Named cells are declarations and not assignments.</w:t>
      </w:r>
    </w:p>
    <w:p w:rsidR="00000000" w:rsidDel="00000000" w:rsidP="00000000" w:rsidRDefault="00000000" w:rsidRPr="00000000" w14:paraId="00000018">
      <w:pPr>
        <w:pageBreakBefore w:val="0"/>
        <w:numPr>
          <w:ilvl w:val="0"/>
          <w:numId w:val="3"/>
        </w:numPr>
        <w:ind w:left="0" w:hanging="360"/>
        <w:jc w:val="left"/>
        <w:rPr>
          <w:color w:val="1b1e23"/>
          <w:sz w:val="20"/>
          <w:szCs w:val="20"/>
        </w:rPr>
      </w:pPr>
      <w:r w:rsidDel="00000000" w:rsidR="00000000" w:rsidRPr="00000000">
        <w:rPr>
          <w:color w:val="1b1e23"/>
          <w:sz w:val="20"/>
          <w:szCs w:val="20"/>
          <w:rtl w:val="0"/>
        </w:rPr>
        <w:t xml:space="preserve">Statements need curly braces and return.</w:t>
      </w:r>
    </w:p>
    <w:p w:rsidR="00000000" w:rsidDel="00000000" w:rsidP="00000000" w:rsidRDefault="00000000" w:rsidRPr="00000000" w14:paraId="00000019">
      <w:pPr>
        <w:pageBreakBefore w:val="0"/>
        <w:numPr>
          <w:ilvl w:val="0"/>
          <w:numId w:val="3"/>
        </w:numPr>
        <w:ind w:left="0" w:hanging="360"/>
        <w:jc w:val="left"/>
        <w:rPr>
          <w:color w:val="1b1e23"/>
          <w:sz w:val="20"/>
          <w:szCs w:val="20"/>
        </w:rPr>
      </w:pPr>
      <w:r w:rsidDel="00000000" w:rsidR="00000000" w:rsidRPr="00000000">
        <w:rPr>
          <w:color w:val="1b1e23"/>
          <w:sz w:val="20"/>
          <w:szCs w:val="20"/>
          <w:rtl w:val="0"/>
        </w:rPr>
        <w:t xml:space="preserve">Cells can be imported from other notebooks.</w:t>
      </w:r>
    </w:p>
    <w:p w:rsidR="00000000" w:rsidDel="00000000" w:rsidP="00000000" w:rsidRDefault="00000000" w:rsidRPr="00000000" w14:paraId="0000001A">
      <w:pPr>
        <w:pageBreakBefore w:val="0"/>
        <w:ind w:left="0" w:firstLine="0"/>
        <w:jc w:val="left"/>
        <w:rPr>
          <w:color w:val="3182bd"/>
          <w:sz w:val="20"/>
          <w:szCs w:val="20"/>
        </w:rPr>
      </w:pPr>
      <w:r w:rsidDel="00000000" w:rsidR="00000000" w:rsidRPr="00000000">
        <w:rPr>
          <w:color w:val="1b1e23"/>
          <w:sz w:val="20"/>
          <w:szCs w:val="20"/>
          <w:rtl w:val="0"/>
        </w:rPr>
        <w:tab/>
      </w:r>
      <w:r w:rsidDel="00000000" w:rsidR="00000000" w:rsidRPr="00000000">
        <w:rPr>
          <w:rtl w:val="0"/>
        </w:rPr>
      </w:r>
    </w:p>
    <w:p w:rsidR="00000000" w:rsidDel="00000000" w:rsidP="00000000" w:rsidRDefault="00000000" w:rsidRPr="00000000" w14:paraId="0000001B">
      <w:pPr>
        <w:pageBreakBefore w:val="0"/>
        <w:ind w:left="0" w:firstLine="0"/>
        <w:jc w:val="both"/>
        <w:rPr>
          <w:color w:val="1b1e23"/>
          <w:sz w:val="20"/>
          <w:szCs w:val="20"/>
        </w:rPr>
      </w:pPr>
      <w:r w:rsidDel="00000000" w:rsidR="00000000" w:rsidRPr="00000000">
        <w:rPr>
          <w:b w:val="1"/>
          <w:color w:val="3182bd"/>
          <w:sz w:val="20"/>
          <w:szCs w:val="20"/>
          <w:rtl w:val="0"/>
        </w:rPr>
        <w:t xml:space="preserve">Introduction to Vegalite:</w:t>
      </w:r>
      <w:r w:rsidDel="00000000" w:rsidR="00000000" w:rsidRPr="00000000">
        <w:rPr>
          <w:color w:val="3182bd"/>
          <w:sz w:val="20"/>
          <w:szCs w:val="20"/>
          <w:rtl w:val="0"/>
        </w:rPr>
        <w:t xml:space="preserve"> </w:t>
      </w:r>
      <w:hyperlink r:id="rId6">
        <w:r w:rsidDel="00000000" w:rsidR="00000000" w:rsidRPr="00000000">
          <w:rPr>
            <w:b w:val="1"/>
            <w:color w:val="3182bd"/>
            <w:sz w:val="20"/>
            <w:szCs w:val="20"/>
            <w:u w:val="single"/>
            <w:rtl w:val="0"/>
          </w:rPr>
          <w:t xml:space="preserve">Vega-Lite</w:t>
        </w:r>
      </w:hyperlink>
      <w:r w:rsidDel="00000000" w:rsidR="00000000" w:rsidRPr="00000000">
        <w:rPr>
          <w:color w:val="1b1e23"/>
          <w:sz w:val="20"/>
          <w:szCs w:val="20"/>
          <w:rtl w:val="0"/>
        </w:rPr>
        <w:t xml:space="preserve"> is a declarative language for interactive data visualization. Vega-Lite offers a powerful and concise visualization grammar for quickly building a wide range of statistical graphics. It is declarative in the sense that you can define how you want the visualization to appear. You can provide high level specifications of what you want the visualization to include rather than specifying how to include it. This feature makes it a very powerful tool as the analyst/developers can focus more on the visualization aspect of it, rather than the technical details.</w:t>
      </w:r>
    </w:p>
    <w:p w:rsidR="00000000" w:rsidDel="00000000" w:rsidP="00000000" w:rsidRDefault="00000000" w:rsidRPr="00000000" w14:paraId="0000001C">
      <w:pPr>
        <w:pageBreakBefore w:val="0"/>
        <w:ind w:left="0" w:firstLine="720"/>
        <w:jc w:val="both"/>
        <w:rPr>
          <w:color w:val="1b1e23"/>
          <w:sz w:val="20"/>
          <w:szCs w:val="20"/>
        </w:rPr>
      </w:pPr>
      <w:r w:rsidDel="00000000" w:rsidR="00000000" w:rsidRPr="00000000">
        <w:rPr>
          <w:rtl w:val="0"/>
        </w:rPr>
      </w:r>
    </w:p>
    <w:p w:rsidR="00000000" w:rsidDel="00000000" w:rsidP="00000000" w:rsidRDefault="00000000" w:rsidRPr="00000000" w14:paraId="0000001D">
      <w:pPr>
        <w:pageBreakBefore w:val="0"/>
        <w:ind w:left="0" w:firstLine="0"/>
        <w:jc w:val="both"/>
        <w:rPr>
          <w:color w:val="1b1e23"/>
          <w:sz w:val="20"/>
          <w:szCs w:val="20"/>
        </w:rPr>
      </w:pPr>
      <w:r w:rsidDel="00000000" w:rsidR="00000000" w:rsidRPr="00000000">
        <w:rPr>
          <w:color w:val="1b1e23"/>
          <w:sz w:val="20"/>
          <w:szCs w:val="20"/>
          <w:rtl w:val="0"/>
        </w:rPr>
        <w:t xml:space="preserve">The data in Observable can be loaded into the notebook in different ways.</w:t>
      </w:r>
    </w:p>
    <w:p w:rsidR="00000000" w:rsidDel="00000000" w:rsidP="00000000" w:rsidRDefault="00000000" w:rsidRPr="00000000" w14:paraId="0000001E">
      <w:pPr>
        <w:pageBreakBefore w:val="0"/>
        <w:numPr>
          <w:ilvl w:val="0"/>
          <w:numId w:val="2"/>
        </w:numPr>
        <w:ind w:left="0" w:hanging="360"/>
        <w:jc w:val="both"/>
        <w:rPr>
          <w:color w:val="1b1e23"/>
          <w:sz w:val="20"/>
          <w:szCs w:val="20"/>
        </w:rPr>
      </w:pPr>
      <w:r w:rsidDel="00000000" w:rsidR="00000000" w:rsidRPr="00000000">
        <w:rPr>
          <w:color w:val="1b1e23"/>
          <w:sz w:val="20"/>
          <w:szCs w:val="20"/>
          <w:rtl w:val="0"/>
        </w:rPr>
        <w:t xml:space="preserve">Inline- This means the data can be declared as arrays and embedded in the code in the notebook.</w:t>
      </w:r>
    </w:p>
    <w:p w:rsidR="00000000" w:rsidDel="00000000" w:rsidP="00000000" w:rsidRDefault="00000000" w:rsidRPr="00000000" w14:paraId="0000001F">
      <w:pPr>
        <w:pageBreakBefore w:val="0"/>
        <w:numPr>
          <w:ilvl w:val="0"/>
          <w:numId w:val="2"/>
        </w:numPr>
        <w:ind w:left="0" w:hanging="360"/>
        <w:jc w:val="both"/>
        <w:rPr>
          <w:color w:val="1b1e23"/>
          <w:sz w:val="20"/>
          <w:szCs w:val="20"/>
        </w:rPr>
      </w:pPr>
      <w:r w:rsidDel="00000000" w:rsidR="00000000" w:rsidRPr="00000000">
        <w:rPr>
          <w:color w:val="1b1e23"/>
          <w:sz w:val="20"/>
          <w:szCs w:val="20"/>
          <w:rtl w:val="0"/>
        </w:rPr>
        <w:t xml:space="preserve">File- For medium amounts of data, the data file can be imported and attached to the notebook as an attachment. The attachment can then be accessed in the code in the cell. This has been used in the current project for loading the data file.</w:t>
      </w:r>
    </w:p>
    <w:p w:rsidR="00000000" w:rsidDel="00000000" w:rsidP="00000000" w:rsidRDefault="00000000" w:rsidRPr="00000000" w14:paraId="00000020">
      <w:pPr>
        <w:pageBreakBefore w:val="0"/>
        <w:numPr>
          <w:ilvl w:val="0"/>
          <w:numId w:val="2"/>
        </w:numPr>
        <w:ind w:left="0" w:hanging="360"/>
        <w:jc w:val="both"/>
        <w:rPr>
          <w:color w:val="1b1e23"/>
          <w:sz w:val="20"/>
          <w:szCs w:val="20"/>
        </w:rPr>
      </w:pPr>
      <w:r w:rsidDel="00000000" w:rsidR="00000000" w:rsidRPr="00000000">
        <w:rPr>
          <w:color w:val="1b1e23"/>
          <w:sz w:val="20"/>
          <w:szCs w:val="20"/>
          <w:rtl w:val="0"/>
        </w:rPr>
        <w:t xml:space="preserve">APIs- The data can also be fetched from a remote server via API calls.</w:t>
      </w:r>
    </w:p>
    <w:p w:rsidR="00000000" w:rsidDel="00000000" w:rsidP="00000000" w:rsidRDefault="00000000" w:rsidRPr="00000000" w14:paraId="00000021">
      <w:pPr>
        <w:pageBreakBefore w:val="0"/>
        <w:numPr>
          <w:ilvl w:val="0"/>
          <w:numId w:val="2"/>
        </w:numPr>
        <w:ind w:left="0" w:hanging="360"/>
        <w:jc w:val="both"/>
        <w:rPr>
          <w:color w:val="1b1e23"/>
          <w:sz w:val="20"/>
          <w:szCs w:val="20"/>
        </w:rPr>
      </w:pPr>
      <w:r w:rsidDel="00000000" w:rsidR="00000000" w:rsidRPr="00000000">
        <w:rPr>
          <w:color w:val="1b1e23"/>
          <w:sz w:val="20"/>
          <w:szCs w:val="20"/>
          <w:rtl w:val="0"/>
        </w:rPr>
        <w:t xml:space="preserve">Databases- The data can also be accessed via an observable database client for accessing SQL databases.</w:t>
      </w:r>
    </w:p>
    <w:p w:rsidR="00000000" w:rsidDel="00000000" w:rsidP="00000000" w:rsidRDefault="00000000" w:rsidRPr="00000000" w14:paraId="00000022">
      <w:pPr>
        <w:pageBreakBefore w:val="0"/>
        <w:ind w:left="0" w:firstLine="0"/>
        <w:jc w:val="both"/>
        <w:rPr>
          <w:color w:val="1b1e23"/>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spacing w:before="0" w:lineRule="auto"/>
        <w:jc w:val="both"/>
        <w:rPr>
          <w:b w:val="1"/>
          <w:color w:val="3182bd"/>
          <w:sz w:val="20"/>
          <w:szCs w:val="20"/>
        </w:rPr>
      </w:pPr>
      <w:r w:rsidDel="00000000" w:rsidR="00000000" w:rsidRPr="00000000">
        <w:rPr>
          <w:b w:val="1"/>
          <w:color w:val="3182bd"/>
          <w:sz w:val="20"/>
          <w:szCs w:val="20"/>
          <w:rtl w:val="0"/>
        </w:rPr>
        <w:t xml:space="preserve">2020 Marketplace Open Enrollment Period</w:t>
      </w:r>
    </w:p>
    <w:p w:rsidR="00000000" w:rsidDel="00000000" w:rsidP="00000000" w:rsidRDefault="00000000" w:rsidRPr="00000000" w14:paraId="00000024">
      <w:pPr>
        <w:pageBreakBefore w:val="0"/>
        <w:spacing w:after="260" w:before="260" w:lineRule="auto"/>
        <w:jc w:val="both"/>
        <w:rPr>
          <w:color w:val="1b1e23"/>
          <w:sz w:val="20"/>
          <w:szCs w:val="20"/>
        </w:rPr>
      </w:pPr>
      <w:r w:rsidDel="00000000" w:rsidR="00000000" w:rsidRPr="00000000">
        <w:rPr>
          <w:color w:val="1b1e23"/>
          <w:sz w:val="20"/>
          <w:szCs w:val="20"/>
          <w:rtl w:val="0"/>
        </w:rPr>
        <w:t xml:space="preserve">For the 38 states using HealthCare.gov (HC.gov), the Health Insurance Exchange reporting period reflects plan selection and Exchange activity from November 1, 2019 to December 21, 2019.</w:t>
      </w:r>
    </w:p>
    <w:p w:rsidR="00000000" w:rsidDel="00000000" w:rsidP="00000000" w:rsidRDefault="00000000" w:rsidRPr="00000000" w14:paraId="00000025">
      <w:pPr>
        <w:pageBreakBefore w:val="0"/>
        <w:spacing w:after="260" w:lineRule="auto"/>
        <w:jc w:val="both"/>
        <w:rPr>
          <w:color w:val="1b1e23"/>
          <w:sz w:val="20"/>
          <w:szCs w:val="20"/>
        </w:rPr>
      </w:pPr>
      <w:r w:rsidDel="00000000" w:rsidR="00000000" w:rsidRPr="00000000">
        <w:rPr>
          <w:color w:val="1b1e23"/>
          <w:sz w:val="20"/>
          <w:szCs w:val="20"/>
          <w:rtl w:val="0"/>
        </w:rPr>
        <w:t xml:space="preserve">The state-level PUF includes total health plan selections in all 50 states plus the District of Columbia. The PUF provides state-level data on metrics such as average monthly premium, financial assistance, age, gender, metal level, self-reported race and ethnicity, rural location, household income as a percent of the federal poverty level (FPL), and plan switching behavior among consumers with a plan selection. In addition, the state-level PUF includes data on dental plan selections and Basic Health Plan (BHP) enrollments. Certain data elements are only available for the 38 HC.gov states in 2020.</w:t>
      </w:r>
    </w:p>
    <w:p w:rsidR="00000000" w:rsidDel="00000000" w:rsidP="00000000" w:rsidRDefault="00000000" w:rsidRPr="00000000" w14:paraId="00000026">
      <w:pPr>
        <w:pageBreakBefore w:val="0"/>
        <w:ind w:left="0" w:firstLine="0"/>
        <w:jc w:val="both"/>
        <w:rPr>
          <w:color w:val="1b1e23"/>
          <w:sz w:val="20"/>
          <w:szCs w:val="20"/>
        </w:rPr>
      </w:pPr>
      <w:r w:rsidDel="00000000" w:rsidR="00000000" w:rsidRPr="00000000">
        <w:rPr>
          <w:b w:val="1"/>
          <w:color w:val="3182bd"/>
          <w:sz w:val="20"/>
          <w:szCs w:val="20"/>
          <w:rtl w:val="0"/>
        </w:rPr>
        <w:t xml:space="preserve">Data Cleaning Process:</w:t>
      </w:r>
      <w:r w:rsidDel="00000000" w:rsidR="00000000" w:rsidRPr="00000000">
        <w:rPr>
          <w:color w:val="3182bd"/>
          <w:sz w:val="20"/>
          <w:szCs w:val="20"/>
          <w:rtl w:val="0"/>
        </w:rPr>
        <w:t xml:space="preserve"> </w:t>
      </w:r>
      <w:r w:rsidDel="00000000" w:rsidR="00000000" w:rsidRPr="00000000">
        <w:rPr>
          <w:color w:val="1b1e23"/>
          <w:sz w:val="20"/>
          <w:szCs w:val="20"/>
          <w:rtl w:val="0"/>
        </w:rPr>
        <w:t xml:space="preserve">The data used in the project was downloaded from the public use files provided by CMS(Center of Medicare and Medicaid services). The data had to be cleaned before making it available for chart creation. The data cleaning was done using notepad++. Most of the numeric data was embedded in double quotes , with a  comma to separate the least significant and most significant bits. These had to be changed into numeric values so as to use them in computation. This was done, by using the below regular expression replace strategy on the csv file.</w:t>
      </w:r>
    </w:p>
    <w:p w:rsidR="00000000" w:rsidDel="00000000" w:rsidP="00000000" w:rsidRDefault="00000000" w:rsidRPr="00000000" w14:paraId="00000027">
      <w:pPr>
        <w:pageBreakBefore w:val="0"/>
        <w:ind w:left="0" w:firstLine="720"/>
        <w:jc w:val="both"/>
        <w:rPr>
          <w:color w:val="1b1e23"/>
          <w:sz w:val="20"/>
          <w:szCs w:val="20"/>
        </w:rPr>
      </w:pPr>
      <w:r w:rsidDel="00000000" w:rsidR="00000000" w:rsidRPr="00000000">
        <w:rPr>
          <w:color w:val="1b1e23"/>
          <w:sz w:val="20"/>
          <w:szCs w:val="20"/>
          <w:rtl w:val="0"/>
        </w:rPr>
        <w:t xml:space="preserve">Find: (\".*?),(.*?\")</w:t>
      </w:r>
    </w:p>
    <w:p w:rsidR="00000000" w:rsidDel="00000000" w:rsidP="00000000" w:rsidRDefault="00000000" w:rsidRPr="00000000" w14:paraId="00000028">
      <w:pPr>
        <w:pageBreakBefore w:val="0"/>
        <w:ind w:left="0" w:firstLine="720"/>
        <w:jc w:val="both"/>
        <w:rPr>
          <w:color w:val="1b1e23"/>
          <w:sz w:val="20"/>
          <w:szCs w:val="20"/>
        </w:rPr>
      </w:pPr>
      <w:r w:rsidDel="00000000" w:rsidR="00000000" w:rsidRPr="00000000">
        <w:rPr>
          <w:color w:val="1b1e23"/>
          <w:sz w:val="20"/>
          <w:szCs w:val="20"/>
          <w:rtl w:val="0"/>
        </w:rPr>
        <w:t xml:space="preserve">Replace: \1\2</w:t>
      </w:r>
    </w:p>
    <w:p w:rsidR="00000000" w:rsidDel="00000000" w:rsidP="00000000" w:rsidRDefault="00000000" w:rsidRPr="00000000" w14:paraId="00000029">
      <w:pPr>
        <w:pageBreakBefore w:val="0"/>
        <w:ind w:left="0" w:firstLine="0"/>
        <w:jc w:val="both"/>
        <w:rPr>
          <w:b w:val="1"/>
          <w:color w:val="3182bd"/>
          <w:sz w:val="20"/>
          <w:szCs w:val="20"/>
        </w:rPr>
      </w:pPr>
      <w:r w:rsidDel="00000000" w:rsidR="00000000" w:rsidRPr="00000000">
        <w:rPr>
          <w:b w:val="1"/>
          <w:color w:val="3182bd"/>
          <w:sz w:val="20"/>
          <w:szCs w:val="20"/>
          <w:rtl w:val="0"/>
        </w:rPr>
        <w:t xml:space="preserve">The Charting Process:</w:t>
      </w:r>
    </w:p>
    <w:p w:rsidR="00000000" w:rsidDel="00000000" w:rsidP="00000000" w:rsidRDefault="00000000" w:rsidRPr="00000000" w14:paraId="0000002A">
      <w:pPr>
        <w:pageBreakBefore w:val="0"/>
        <w:ind w:left="0" w:firstLine="720"/>
        <w:jc w:val="both"/>
        <w:rPr>
          <w:color w:val="1b1e23"/>
          <w:sz w:val="20"/>
          <w:szCs w:val="20"/>
        </w:rPr>
      </w:pPr>
      <w:r w:rsidDel="00000000" w:rsidR="00000000" w:rsidRPr="00000000">
        <w:rPr>
          <w:color w:val="3182bd"/>
          <w:sz w:val="20"/>
          <w:szCs w:val="20"/>
          <w:rtl w:val="0"/>
        </w:rPr>
        <w:tab/>
      </w:r>
      <w:r w:rsidDel="00000000" w:rsidR="00000000" w:rsidRPr="00000000">
        <w:rPr>
          <w:color w:val="1b1e23"/>
          <w:sz w:val="20"/>
          <w:szCs w:val="20"/>
          <w:rtl w:val="0"/>
        </w:rPr>
        <w:t xml:space="preserve">For creating the bar chart , Vegalite script is used. The script uses the bar chart and the encoding scheme for the x and y axis. The chart 1 shows for each State the total number of active renewals and the chart 2 shows for each state the QHP eligibility. The chart is also sorted according to aggregated y values using the sort keyword.</w:t>
      </w:r>
    </w:p>
    <w:p w:rsidR="00000000" w:rsidDel="00000000" w:rsidP="00000000" w:rsidRDefault="00000000" w:rsidRPr="00000000" w14:paraId="0000002B">
      <w:pPr>
        <w:pageBreakBefore w:val="0"/>
        <w:ind w:left="0" w:firstLine="0"/>
        <w:jc w:val="both"/>
        <w:rPr>
          <w:color w:val="1b1e23"/>
          <w:sz w:val="20"/>
          <w:szCs w:val="20"/>
        </w:rPr>
      </w:pPr>
      <w:r w:rsidDel="00000000" w:rsidR="00000000" w:rsidRPr="00000000">
        <w:rPr>
          <w:rtl w:val="0"/>
        </w:rPr>
      </w:r>
    </w:p>
    <w:p w:rsidR="00000000" w:rsidDel="00000000" w:rsidP="00000000" w:rsidRDefault="00000000" w:rsidRPr="00000000" w14:paraId="0000002C">
      <w:pPr>
        <w:pageBreakBefore w:val="0"/>
        <w:ind w:left="0" w:firstLine="720"/>
        <w:jc w:val="both"/>
        <w:rPr>
          <w:color w:val="1b1e23"/>
          <w:sz w:val="20"/>
          <w:szCs w:val="20"/>
        </w:rPr>
      </w:pPr>
      <w:r w:rsidDel="00000000" w:rsidR="00000000" w:rsidRPr="00000000">
        <w:rPr>
          <w:rtl w:val="0"/>
        </w:rPr>
      </w:r>
    </w:p>
    <w:p w:rsidR="00000000" w:rsidDel="00000000" w:rsidP="00000000" w:rsidRDefault="00000000" w:rsidRPr="00000000" w14:paraId="0000002D">
      <w:pPr>
        <w:pageBreakBefore w:val="0"/>
        <w:ind w:left="0" w:firstLine="0"/>
        <w:jc w:val="both"/>
        <w:rPr>
          <w:color w:val="1b1e23"/>
          <w:sz w:val="20"/>
          <w:szCs w:val="20"/>
        </w:rPr>
      </w:pPr>
      <w:r w:rsidDel="00000000" w:rsidR="00000000" w:rsidRPr="00000000">
        <w:rPr>
          <w:color w:val="1b1e23"/>
          <w:sz w:val="20"/>
          <w:szCs w:val="20"/>
        </w:rPr>
        <w:drawing>
          <wp:inline distB="114300" distT="114300" distL="114300" distR="114300">
            <wp:extent cx="2766403" cy="6243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6403" cy="62436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0" w:firstLine="0"/>
        <w:jc w:val="both"/>
        <w:rPr>
          <w:color w:val="1b1e23"/>
          <w:sz w:val="20"/>
          <w:szCs w:val="20"/>
        </w:rPr>
      </w:pPr>
      <w:r w:rsidDel="00000000" w:rsidR="00000000" w:rsidRPr="00000000">
        <w:rPr>
          <w:color w:val="1b1e23"/>
          <w:sz w:val="20"/>
          <w:szCs w:val="20"/>
          <w:rtl w:val="0"/>
        </w:rPr>
        <w:tab/>
        <w:tab/>
        <w:tab/>
        <w:t xml:space="preserve">(fig.1)</w:t>
      </w:r>
    </w:p>
    <w:p w:rsidR="00000000" w:rsidDel="00000000" w:rsidP="00000000" w:rsidRDefault="00000000" w:rsidRPr="00000000" w14:paraId="0000002F">
      <w:pPr>
        <w:pageBreakBefore w:val="0"/>
        <w:ind w:left="0" w:firstLine="720"/>
        <w:jc w:val="both"/>
        <w:rPr>
          <w:color w:val="1b1e23"/>
          <w:sz w:val="20"/>
          <w:szCs w:val="20"/>
        </w:rPr>
      </w:pPr>
      <w:r w:rsidDel="00000000" w:rsidR="00000000" w:rsidRPr="00000000">
        <w:rPr>
          <w:color w:val="1b1e23"/>
          <w:sz w:val="20"/>
          <w:szCs w:val="20"/>
          <w:rtl w:val="0"/>
        </w:rPr>
        <w:t xml:space="preserve">Number of Active Enrollments per State</w:t>
      </w:r>
    </w:p>
    <w:p w:rsidR="00000000" w:rsidDel="00000000" w:rsidP="00000000" w:rsidRDefault="00000000" w:rsidRPr="00000000" w14:paraId="00000030">
      <w:pPr>
        <w:pageBreakBefore w:val="0"/>
        <w:ind w:left="0" w:firstLine="720"/>
        <w:jc w:val="both"/>
        <w:rPr>
          <w:color w:val="1b1e23"/>
          <w:sz w:val="20"/>
          <w:szCs w:val="20"/>
        </w:rPr>
      </w:pPr>
      <w:r w:rsidDel="00000000" w:rsidR="00000000" w:rsidRPr="00000000">
        <w:rPr>
          <w:rtl w:val="0"/>
        </w:rPr>
      </w:r>
    </w:p>
    <w:p w:rsidR="00000000" w:rsidDel="00000000" w:rsidP="00000000" w:rsidRDefault="00000000" w:rsidRPr="00000000" w14:paraId="00000031">
      <w:pPr>
        <w:pageBreakBefore w:val="0"/>
        <w:ind w:left="0" w:firstLine="720"/>
        <w:jc w:val="both"/>
        <w:rPr>
          <w:color w:val="1b1e23"/>
          <w:sz w:val="20"/>
          <w:szCs w:val="20"/>
        </w:rPr>
      </w:pPr>
      <w:r w:rsidDel="00000000" w:rsidR="00000000" w:rsidRPr="00000000">
        <w:rPr>
          <w:rtl w:val="0"/>
        </w:rPr>
      </w:r>
    </w:p>
    <w:p w:rsidR="00000000" w:rsidDel="00000000" w:rsidP="00000000" w:rsidRDefault="00000000" w:rsidRPr="00000000" w14:paraId="00000032">
      <w:pPr>
        <w:pageBreakBefore w:val="0"/>
        <w:ind w:left="0" w:firstLine="720"/>
        <w:jc w:val="both"/>
        <w:rPr>
          <w:color w:val="1b1e23"/>
          <w:sz w:val="20"/>
          <w:szCs w:val="20"/>
        </w:rPr>
      </w:pPr>
      <w:r w:rsidDel="00000000" w:rsidR="00000000" w:rsidRPr="00000000">
        <w:rPr>
          <w:rtl w:val="0"/>
        </w:rPr>
      </w:r>
    </w:p>
    <w:p w:rsidR="00000000" w:rsidDel="00000000" w:rsidP="00000000" w:rsidRDefault="00000000" w:rsidRPr="00000000" w14:paraId="00000033">
      <w:pPr>
        <w:pageBreakBefore w:val="0"/>
        <w:ind w:left="0" w:firstLine="0"/>
        <w:jc w:val="both"/>
        <w:rPr>
          <w:color w:val="1b1e23"/>
          <w:sz w:val="20"/>
          <w:szCs w:val="20"/>
        </w:rPr>
      </w:pPr>
      <w:r w:rsidDel="00000000" w:rsidR="00000000" w:rsidRPr="00000000">
        <w:rPr>
          <w:color w:val="1b1e23"/>
          <w:sz w:val="20"/>
          <w:szCs w:val="20"/>
        </w:rPr>
        <w:drawing>
          <wp:inline distB="114300" distT="114300" distL="114300" distR="114300">
            <wp:extent cx="2743200" cy="520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left="0" w:firstLine="0"/>
        <w:jc w:val="both"/>
        <w:rPr>
          <w:color w:val="1b1e23"/>
          <w:sz w:val="20"/>
          <w:szCs w:val="20"/>
        </w:rPr>
      </w:pPr>
      <w:r w:rsidDel="00000000" w:rsidR="00000000" w:rsidRPr="00000000">
        <w:rPr>
          <w:color w:val="1b1e23"/>
          <w:sz w:val="20"/>
          <w:szCs w:val="20"/>
          <w:rtl w:val="0"/>
        </w:rPr>
        <w:tab/>
        <w:tab/>
        <w:tab/>
        <w:t xml:space="preserve">(fig.2)</w:t>
      </w:r>
    </w:p>
    <w:p w:rsidR="00000000" w:rsidDel="00000000" w:rsidP="00000000" w:rsidRDefault="00000000" w:rsidRPr="00000000" w14:paraId="00000035">
      <w:pPr>
        <w:pageBreakBefore w:val="0"/>
        <w:ind w:left="0" w:firstLine="0"/>
        <w:jc w:val="both"/>
        <w:rPr>
          <w:color w:val="1b1e23"/>
          <w:sz w:val="20"/>
          <w:szCs w:val="20"/>
        </w:rPr>
      </w:pPr>
      <w:r w:rsidDel="00000000" w:rsidR="00000000" w:rsidRPr="00000000">
        <w:rPr>
          <w:color w:val="1b1e23"/>
          <w:sz w:val="20"/>
          <w:szCs w:val="20"/>
          <w:rtl w:val="0"/>
        </w:rPr>
        <w:tab/>
        <w:t xml:space="preserve">Sum of QHP Eligibility per State</w:t>
      </w:r>
    </w:p>
    <w:p w:rsidR="00000000" w:rsidDel="00000000" w:rsidP="00000000" w:rsidRDefault="00000000" w:rsidRPr="00000000" w14:paraId="00000036">
      <w:pPr>
        <w:pageBreakBefore w:val="0"/>
        <w:ind w:left="0" w:firstLine="0"/>
        <w:jc w:val="both"/>
        <w:rPr>
          <w:color w:val="1b1e23"/>
          <w:sz w:val="20"/>
          <w:szCs w:val="20"/>
        </w:rPr>
      </w:pPr>
      <w:r w:rsidDel="00000000" w:rsidR="00000000" w:rsidRPr="00000000">
        <w:rPr>
          <w:color w:val="1b1e23"/>
          <w:sz w:val="20"/>
          <w:szCs w:val="20"/>
          <w:rtl w:val="0"/>
        </w:rPr>
        <w:tab/>
      </w:r>
    </w:p>
    <w:p w:rsidR="00000000" w:rsidDel="00000000" w:rsidP="00000000" w:rsidRDefault="00000000" w:rsidRPr="00000000" w14:paraId="00000037">
      <w:pPr>
        <w:pageBreakBefore w:val="0"/>
        <w:ind w:left="0" w:firstLine="0"/>
        <w:jc w:val="both"/>
        <w:rPr>
          <w:color w:val="1b1e23"/>
          <w:sz w:val="20"/>
          <w:szCs w:val="20"/>
        </w:rPr>
      </w:pPr>
      <w:r w:rsidDel="00000000" w:rsidR="00000000" w:rsidRPr="00000000">
        <w:rPr>
          <w:rtl w:val="0"/>
        </w:rPr>
      </w:r>
    </w:p>
    <w:p w:rsidR="00000000" w:rsidDel="00000000" w:rsidP="00000000" w:rsidRDefault="00000000" w:rsidRPr="00000000" w14:paraId="00000038">
      <w:pPr>
        <w:pageBreakBefore w:val="0"/>
        <w:ind w:left="0" w:firstLine="0"/>
        <w:jc w:val="both"/>
        <w:rPr>
          <w:b w:val="1"/>
          <w:color w:val="1b1e23"/>
          <w:sz w:val="20"/>
          <w:szCs w:val="20"/>
        </w:rPr>
      </w:pPr>
      <w:r w:rsidDel="00000000" w:rsidR="00000000" w:rsidRPr="00000000">
        <w:rPr>
          <w:b w:val="1"/>
          <w:color w:val="3182bd"/>
          <w:sz w:val="20"/>
          <w:szCs w:val="20"/>
          <w:rtl w:val="0"/>
        </w:rPr>
        <w:t xml:space="preserve">Link to the Observable Notebook:</w:t>
      </w:r>
      <w:r w:rsidDel="00000000" w:rsidR="00000000" w:rsidRPr="00000000">
        <w:rPr>
          <w:b w:val="1"/>
          <w:color w:val="1b1e23"/>
          <w:sz w:val="20"/>
          <w:szCs w:val="20"/>
          <w:rtl w:val="0"/>
        </w:rPr>
        <w:t xml:space="preserve"> (ctrl+click on the below text to view the link and then click on the link to view the Observable notebook)</w:t>
      </w:r>
    </w:p>
    <w:p w:rsidR="00000000" w:rsidDel="00000000" w:rsidP="00000000" w:rsidRDefault="00000000" w:rsidRPr="00000000" w14:paraId="00000039">
      <w:pPr>
        <w:pageBreakBefore w:val="0"/>
        <w:ind w:left="0" w:firstLine="0"/>
        <w:jc w:val="both"/>
        <w:rPr>
          <w:color w:val="1b1e23"/>
          <w:sz w:val="20"/>
          <w:szCs w:val="20"/>
        </w:rPr>
      </w:pPr>
      <w:r w:rsidDel="00000000" w:rsidR="00000000" w:rsidRPr="00000000">
        <w:rPr>
          <w:color w:val="1b1e23"/>
          <w:sz w:val="20"/>
          <w:szCs w:val="20"/>
          <w:rtl w:val="0"/>
        </w:rPr>
        <w:tab/>
      </w:r>
    </w:p>
    <w:p w:rsidR="00000000" w:rsidDel="00000000" w:rsidP="00000000" w:rsidRDefault="00000000" w:rsidRPr="00000000" w14:paraId="0000003A">
      <w:pPr>
        <w:pageBreakBefore w:val="0"/>
        <w:ind w:left="0" w:firstLine="0"/>
        <w:jc w:val="both"/>
        <w:rPr>
          <w:b w:val="1"/>
          <w:color w:val="1b1e23"/>
          <w:sz w:val="24"/>
          <w:szCs w:val="24"/>
        </w:rPr>
      </w:pPr>
      <w:r w:rsidDel="00000000" w:rsidR="00000000" w:rsidRPr="00000000">
        <w:rPr>
          <w:color w:val="1b1e23"/>
          <w:sz w:val="20"/>
          <w:szCs w:val="20"/>
          <w:rtl w:val="0"/>
        </w:rPr>
        <w:tab/>
      </w:r>
      <w:hyperlink r:id="rId9">
        <w:r w:rsidDel="00000000" w:rsidR="00000000" w:rsidRPr="00000000">
          <w:rPr>
            <w:b w:val="1"/>
            <w:color w:val="1155cc"/>
            <w:sz w:val="24"/>
            <w:szCs w:val="24"/>
            <w:u w:val="single"/>
            <w:rtl w:val="0"/>
          </w:rPr>
          <w:t xml:space="preserve">OEPPlanAssignment / Lavanya Rao / Observable (observablehq.com)</w:t>
        </w:r>
      </w:hyperlink>
      <w:r w:rsidDel="00000000" w:rsidR="00000000" w:rsidRPr="00000000">
        <w:rPr>
          <w:rtl w:val="0"/>
        </w:rPr>
      </w:r>
    </w:p>
    <w:p w:rsidR="00000000" w:rsidDel="00000000" w:rsidP="00000000" w:rsidRDefault="00000000" w:rsidRPr="00000000" w14:paraId="0000003B">
      <w:pPr>
        <w:pageBreakBefore w:val="0"/>
        <w:ind w:left="0" w:firstLine="720"/>
        <w:jc w:val="both"/>
        <w:rPr>
          <w:color w:val="1b1e23"/>
          <w:sz w:val="20"/>
          <w:szCs w:val="20"/>
        </w:rPr>
      </w:pPr>
      <w:r w:rsidDel="00000000" w:rsidR="00000000" w:rsidRPr="00000000">
        <w:rPr>
          <w:rtl w:val="0"/>
        </w:rPr>
      </w:r>
    </w:p>
    <w:p w:rsidR="00000000" w:rsidDel="00000000" w:rsidP="00000000" w:rsidRDefault="00000000" w:rsidRPr="00000000" w14:paraId="0000003C">
      <w:pPr>
        <w:pageBreakBefore w:val="0"/>
        <w:jc w:val="left"/>
        <w:rPr>
          <w:color w:val="1b1e23"/>
          <w:sz w:val="20"/>
          <w:szCs w:val="20"/>
        </w:rPr>
      </w:pPr>
      <w:r w:rsidDel="00000000" w:rsidR="00000000" w:rsidRPr="00000000">
        <w:rPr>
          <w:color w:val="1b1e23"/>
          <w:sz w:val="20"/>
          <w:szCs w:val="20"/>
          <w:rtl w:val="0"/>
        </w:rPr>
        <w:tab/>
      </w:r>
    </w:p>
    <w:p w:rsidR="00000000" w:rsidDel="00000000" w:rsidP="00000000" w:rsidRDefault="00000000" w:rsidRPr="00000000" w14:paraId="0000003D">
      <w:pPr>
        <w:pageBreakBefore w:val="0"/>
        <w:jc w:val="left"/>
        <w:rPr>
          <w:sz w:val="20"/>
          <w:szCs w:val="20"/>
        </w:rPr>
      </w:pPr>
      <w:r w:rsidDel="00000000" w:rsidR="00000000" w:rsidRPr="00000000">
        <w:rPr>
          <w:color w:val="1b1e23"/>
          <w:sz w:val="20"/>
          <w:szCs w:val="20"/>
          <w:rtl w:val="0"/>
        </w:rPr>
        <w:tab/>
      </w:r>
      <w:r w:rsidDel="00000000" w:rsidR="00000000" w:rsidRPr="00000000">
        <w:rPr>
          <w:rtl w:val="0"/>
        </w:rPr>
      </w:r>
    </w:p>
    <w:p w:rsidR="00000000" w:rsidDel="00000000" w:rsidP="00000000" w:rsidRDefault="00000000" w:rsidRPr="00000000" w14:paraId="0000003E">
      <w:pPr>
        <w:pageBreakBefore w:val="0"/>
        <w:jc w:val="left"/>
        <w:rPr>
          <w:b w:val="1"/>
          <w:color w:val="3182bd"/>
          <w:sz w:val="20"/>
          <w:szCs w:val="20"/>
        </w:rPr>
      </w:pPr>
      <w:r w:rsidDel="00000000" w:rsidR="00000000" w:rsidRPr="00000000">
        <w:rPr>
          <w:b w:val="1"/>
          <w:color w:val="3182bd"/>
          <w:sz w:val="20"/>
          <w:szCs w:val="20"/>
          <w:rtl w:val="0"/>
        </w:rPr>
        <w:t xml:space="preserve">Conclusion:</w:t>
      </w:r>
    </w:p>
    <w:p w:rsidR="00000000" w:rsidDel="00000000" w:rsidP="00000000" w:rsidRDefault="00000000" w:rsidRPr="00000000" w14:paraId="0000003F">
      <w:pPr>
        <w:pageBreakBefore w:val="0"/>
        <w:jc w:val="left"/>
        <w:rPr>
          <w:color w:val="3182bd"/>
          <w:sz w:val="20"/>
          <w:szCs w:val="20"/>
        </w:rPr>
      </w:pPr>
      <w:r w:rsidDel="00000000" w:rsidR="00000000" w:rsidRPr="00000000">
        <w:rPr>
          <w:rtl w:val="0"/>
        </w:rPr>
      </w:r>
    </w:p>
    <w:p w:rsidR="00000000" w:rsidDel="00000000" w:rsidP="00000000" w:rsidRDefault="00000000" w:rsidRPr="00000000" w14:paraId="00000040">
      <w:pPr>
        <w:pageBreakBefore w:val="0"/>
        <w:jc w:val="left"/>
        <w:rPr>
          <w:color w:val="3182bd"/>
          <w:sz w:val="20"/>
          <w:szCs w:val="20"/>
        </w:rPr>
      </w:pPr>
      <w:r w:rsidDel="00000000" w:rsidR="00000000" w:rsidRPr="00000000">
        <w:rPr>
          <w:color w:val="3182bd"/>
          <w:sz w:val="20"/>
          <w:szCs w:val="20"/>
          <w:rtl w:val="0"/>
        </w:rPr>
        <w:tab/>
      </w:r>
      <w:r w:rsidDel="00000000" w:rsidR="00000000" w:rsidRPr="00000000">
        <w:rPr>
          <w:color w:val="1b1e23"/>
          <w:sz w:val="20"/>
          <w:szCs w:val="20"/>
          <w:rtl w:val="0"/>
        </w:rPr>
        <w:t xml:space="preserve">Observable i</w:t>
      </w:r>
      <w:r w:rsidDel="00000000" w:rsidR="00000000" w:rsidRPr="00000000">
        <w:rPr>
          <w:rFonts w:ascii="Georgia" w:cs="Georgia" w:eastAsia="Georgia" w:hAnsi="Georgia"/>
          <w:color w:val="292929"/>
          <w:sz w:val="20"/>
          <w:szCs w:val="20"/>
          <w:highlight w:val="white"/>
          <w:rtl w:val="0"/>
        </w:rPr>
        <w:t xml:space="preserve">ntroduces the notebook paradigm to JavaScript projects. People are already familiar with the reactive ways in which javascript can be used and hence observable provides an easier way to use the javascript. Not only that, Observable does this all with declarative syntax, which makes it easier to understand and focus on the business aspects rather than the technical details. Observable integrates D3 , Vegalite and other programming languages very well and is extensible.</w:t>
      </w:r>
      <w:r w:rsidDel="00000000" w:rsidR="00000000" w:rsidRPr="00000000">
        <w:rPr>
          <w:rtl w:val="0"/>
        </w:rPr>
      </w:r>
    </w:p>
    <w:p w:rsidR="00000000" w:rsidDel="00000000" w:rsidP="00000000" w:rsidRDefault="00000000" w:rsidRPr="00000000" w14:paraId="00000041">
      <w:pPr>
        <w:pageBreakBefore w:val="0"/>
        <w:jc w:val="left"/>
        <w:rPr>
          <w:color w:val="3182bd"/>
          <w:sz w:val="20"/>
          <w:szCs w:val="20"/>
        </w:rPr>
      </w:pPr>
      <w:r w:rsidDel="00000000" w:rsidR="00000000" w:rsidRPr="00000000">
        <w:rPr>
          <w:rtl w:val="0"/>
        </w:rPr>
      </w:r>
    </w:p>
    <w:p w:rsidR="00000000" w:rsidDel="00000000" w:rsidP="00000000" w:rsidRDefault="00000000" w:rsidRPr="00000000" w14:paraId="00000042">
      <w:pPr>
        <w:pageBreakBefore w:val="0"/>
        <w:jc w:val="left"/>
        <w:rPr>
          <w:b w:val="1"/>
          <w:color w:val="3182bd"/>
          <w:sz w:val="20"/>
          <w:szCs w:val="20"/>
        </w:rPr>
      </w:pPr>
      <w:r w:rsidDel="00000000" w:rsidR="00000000" w:rsidRPr="00000000">
        <w:rPr>
          <w:b w:val="1"/>
          <w:color w:val="3182bd"/>
          <w:sz w:val="20"/>
          <w:szCs w:val="20"/>
          <w:rtl w:val="0"/>
        </w:rPr>
        <w:t xml:space="preserve">References:</w:t>
      </w:r>
    </w:p>
    <w:p w:rsidR="00000000" w:rsidDel="00000000" w:rsidP="00000000" w:rsidRDefault="00000000" w:rsidRPr="00000000" w14:paraId="00000043">
      <w:pPr>
        <w:pageBreakBefore w:val="0"/>
        <w:numPr>
          <w:ilvl w:val="0"/>
          <w:numId w:val="1"/>
        </w:numPr>
        <w:ind w:left="720" w:hanging="360"/>
        <w:jc w:val="left"/>
        <w:rPr>
          <w:color w:val="3182bd"/>
          <w:sz w:val="20"/>
          <w:szCs w:val="20"/>
        </w:rPr>
      </w:pPr>
      <w:hyperlink r:id="rId10">
        <w:r w:rsidDel="00000000" w:rsidR="00000000" w:rsidRPr="00000000">
          <w:rPr>
            <w:color w:val="1155cc"/>
            <w:sz w:val="20"/>
            <w:szCs w:val="20"/>
            <w:u w:val="single"/>
            <w:rtl w:val="0"/>
          </w:rPr>
          <w:t xml:space="preserve">Home - Centers for Medicare &amp; Medicaid Services | CMS</w:t>
        </w:r>
      </w:hyperlink>
      <w:r w:rsidDel="00000000" w:rsidR="00000000" w:rsidRPr="00000000">
        <w:rPr>
          <w:rtl w:val="0"/>
        </w:rPr>
      </w:r>
    </w:p>
    <w:p w:rsidR="00000000" w:rsidDel="00000000" w:rsidP="00000000" w:rsidRDefault="00000000" w:rsidRPr="00000000" w14:paraId="00000044">
      <w:pPr>
        <w:pageBreakBefore w:val="0"/>
        <w:numPr>
          <w:ilvl w:val="0"/>
          <w:numId w:val="1"/>
        </w:numPr>
        <w:ind w:left="720" w:hanging="360"/>
        <w:jc w:val="left"/>
        <w:rPr>
          <w:color w:val="3182bd"/>
          <w:sz w:val="20"/>
          <w:szCs w:val="20"/>
        </w:rPr>
      </w:pPr>
      <w:hyperlink r:id="rId11">
        <w:r w:rsidDel="00000000" w:rsidR="00000000" w:rsidRPr="00000000">
          <w:rPr>
            <w:color w:val="1155cc"/>
            <w:sz w:val="20"/>
            <w:szCs w:val="20"/>
            <w:u w:val="single"/>
            <w:rtl w:val="0"/>
          </w:rPr>
          <w:t xml:space="preserve">Observable (observablehq.com)</w:t>
        </w:r>
      </w:hyperlink>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jc w:val="left"/>
        <w:rPr>
          <w:color w:val="3182bd"/>
          <w:sz w:val="20"/>
          <w:szCs w:val="20"/>
        </w:rPr>
      </w:pPr>
      <w:r w:rsidDel="00000000" w:rsidR="00000000" w:rsidRPr="00000000">
        <w:rPr>
          <w:color w:val="3182bd"/>
          <w:sz w:val="20"/>
          <w:szCs w:val="20"/>
          <w:rtl w:val="0"/>
        </w:rPr>
        <w:t xml:space="preserve">DataSource: </w:t>
      </w:r>
      <w:hyperlink r:id="rId12">
        <w:r w:rsidDel="00000000" w:rsidR="00000000" w:rsidRPr="00000000">
          <w:rPr>
            <w:color w:val="1155cc"/>
            <w:sz w:val="20"/>
            <w:szCs w:val="20"/>
            <w:u w:val="single"/>
            <w:rtl w:val="0"/>
          </w:rPr>
          <w:t xml:space="preserve">2020 Marketplace Open Enrollment Period Public Use Files | CMS</w:t>
        </w:r>
      </w:hyperlink>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bservablehq.com/" TargetMode="External"/><Relationship Id="rId10" Type="http://schemas.openxmlformats.org/officeDocument/2006/relationships/hyperlink" Target="https://www.cms.gov/" TargetMode="External"/><Relationship Id="rId12" Type="http://schemas.openxmlformats.org/officeDocument/2006/relationships/hyperlink" Target="https://www.cms.gov/Research-Statistics-Data-and-Systems/Statistics-Trends-and-Reports/Marketplace-Products/2020-Marketplace-Open-Enrollment-Period-Public-Use-Files" TargetMode="External"/><Relationship Id="rId9" Type="http://schemas.openxmlformats.org/officeDocument/2006/relationships/hyperlink" Target="https://observablehq.com/@lrao3/oep2020plans" TargetMode="External"/><Relationship Id="rId5" Type="http://schemas.openxmlformats.org/officeDocument/2006/relationships/styles" Target="styles.xml"/><Relationship Id="rId6" Type="http://schemas.openxmlformats.org/officeDocument/2006/relationships/hyperlink" Target="https://vega.github.io/vega-lit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