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8" w:space="4"/>
        </w:pBdr>
        <w:spacing w:after="40"/>
      </w:pPr>
      <w:r>
        <w:rPr>
          <w:b/>
          <w:bCs/>
          <w:color w:val="0C447C"/>
          <w:sz w:val="34"/>
          <w:szCs w:val="34"/>
        </w:rPr>
        <w:t xml:space="preserve">Strategy &amp; Investment-Policy Specification</w:t>
      </w:r>
    </w:p>
    <w:p>
      <w:pPr>
        <w:spacing w:after="40" w:before="80"/>
      </w:pPr>
      <w:r>
        <w:rPr>
          <w:b/>
          <w:bCs/>
          <w:sz w:val="19"/>
          <w:szCs w:val="19"/>
        </w:rPr>
        <w:t xml:space="preserve">Working title: </w:t>
      </w:r>
      <w:r>
        <w:rPr>
          <w:sz w:val="19"/>
          <w:szCs w:val="19"/>
        </w:rPr>
        <w:t xml:space="preserve">Compounder Core + Emerging-Leaders Sleeve (CCEL)</w:t>
      </w:r>
    </w:p>
    <w:p>
      <w:pPr>
        <w:spacing w:after="20"/>
      </w:pPr>
      <w:r>
        <w:rPr>
          <w:b/>
          <w:bCs/>
          <w:color w:val="444441"/>
          <w:sz w:val="19"/>
          <w:szCs w:val="19"/>
        </w:rPr>
        <w:t xml:space="preserve">Objective:  </w:t>
      </w:r>
      <w:r>
        <w:rPr>
          <w:sz w:val="19"/>
          <w:szCs w:val="19"/>
        </w:rPr>
        <w:t xml:space="preserve">Maximize long-run after-tax wealth while outperforming a passive index (QQQ / SPY).</w:t>
      </w:r>
    </w:p>
    <w:p>
      <w:pPr>
        <w:spacing w:after="20"/>
      </w:pPr>
      <w:r>
        <w:rPr>
          <w:b/>
          <w:bCs/>
          <w:color w:val="444441"/>
          <w:sz w:val="19"/>
          <w:szCs w:val="19"/>
        </w:rPr>
        <w:t xml:space="preserve">Benchmarks:  </w:t>
      </w:r>
      <w:r>
        <w:rPr>
          <w:sz w:val="19"/>
          <w:szCs w:val="19"/>
        </w:rPr>
        <w:t xml:space="preserve">QQQ, SPY, and the L1 vol-targeted equal-weight basket — all after-tax.</w:t>
      </w:r>
    </w:p>
    <w:p>
      <w:pPr>
        <w:spacing w:after="20"/>
      </w:pPr>
      <w:r>
        <w:rPr>
          <w:b/>
          <w:bCs/>
          <w:color w:val="444441"/>
          <w:sz w:val="19"/>
          <w:szCs w:val="19"/>
        </w:rPr>
        <w:t xml:space="preserve">Status:  </w:t>
      </w:r>
      <w:r>
        <w:rPr>
          <w:sz w:val="19"/>
          <w:szCs w:val="19"/>
        </w:rPr>
        <w:t xml:space="preserve">Draft v1 — for backtest validation. Not yet deployed. Not investment advice.</w:t>
      </w:r>
    </w:p>
    <w:p>
      <w:pPr>
        <w:spacing w:after="20"/>
      </w:pPr>
      <w:r>
        <w:rPr>
          <w:b/>
          <w:bCs/>
          <w:color w:val="444441"/>
          <w:sz w:val="19"/>
          <w:szCs w:val="19"/>
        </w:rPr>
        <w:t xml:space="preserve">Date:  </w:t>
      </w:r>
      <w:r>
        <w:rPr>
          <w:sz w:val="19"/>
          <w:szCs w:val="19"/>
        </w:rPr>
        <w:t xml:space="preserve">June 13, 2026</w:t>
      </w:r>
    </w:p>
    <w:p>
      <w:pPr>
        <w:pStyle w:val="Heading1"/>
      </w:pPr>
      <w:r>
        <w:t xml:space="preserve">1. Objective &amp; edge sources</w:t>
      </w:r>
    </w:p>
    <w:p>
      <w:pPr>
        <w:spacing w:after="90" w:before="0" w:line="250"/>
      </w:pPr>
      <w:r>
        <w:rPr>
          <w:sz w:val="19"/>
          <w:szCs w:val="19"/>
        </w:rPr>
        <w:t xml:space="preserve">Compound after-tax wealth above a passive index. Two stacked edge sources: (</w:t>
      </w:r>
      <w:r>
        <w:rPr>
          <w:b/>
          <w:bCs/>
          <w:sz w:val="19"/>
          <w:szCs w:val="19"/>
        </w:rPr>
        <w:t xml:space="preserve">a</w:t>
      </w:r>
      <w:r>
        <w:rPr>
          <w:sz w:val="19"/>
          <w:szCs w:val="19"/>
        </w:rPr>
        <w:t xml:space="preserve">) a quality + momentum selection tilt for modest pre-tax alpha, and (</w:t>
      </w:r>
      <w:r>
        <w:rPr>
          <w:b/>
          <w:bCs/>
          <w:sz w:val="19"/>
          <w:szCs w:val="19"/>
        </w:rPr>
        <w:t xml:space="preserve">b</w:t>
      </w:r>
      <w:r>
        <w:rPr>
          <w:sz w:val="19"/>
          <w:szCs w:val="19"/>
        </w:rPr>
        <w:t xml:space="preserve">) systematic tax-loss harvesting plus maximal gain deferral for structural “tax alpha.” The primary lever is </w:t>
      </w:r>
      <w:r>
        <w:rPr>
          <w:b/>
          <w:bCs/>
          <w:sz w:val="19"/>
          <w:szCs w:val="19"/>
        </w:rPr>
        <w:t xml:space="preserve">low realization</w:t>
      </w:r>
      <w:r>
        <w:rPr>
          <w:sz w:val="19"/>
          <w:szCs w:val="19"/>
        </w:rPr>
        <w:t xml:space="preserve"> — let winners compound untaxed; a gain never realized is never taxed.</w:t>
      </w:r>
    </w:p>
    <w:p>
      <w:pPr>
        <w:pStyle w:val="Heading1"/>
      </w:pPr>
      <w:r>
        <w:t xml:space="preserve">2. Universe &amp; selection</w:t>
      </w:r>
    </w:p>
    <w:p>
      <w:pPr>
        <w:pStyle w:val="ListParagraph"/>
        <w:numPr>
          <w:ilvl w:val="0"/>
          <w:numId w:val="2"/>
        </w:numPr>
        <w:spacing w:after="56" w:line="248"/>
      </w:pPr>
      <w:r>
        <w:rPr>
          <w:b/>
          <w:bCs/>
          <w:sz w:val="19"/>
          <w:szCs w:val="19"/>
        </w:rPr>
        <w:t xml:space="preserve">Universe: </w:t>
      </w:r>
      <w:r>
        <w:rPr>
          <w:sz w:val="19"/>
          <w:szCs w:val="19"/>
        </w:rPr>
        <w:t xml:space="preserve">US-listed equities, evaluated point-in-time (survivorship-free; includes since-delisted names). Liquidity floor ≥ $10M average daily dollar volume.</w:t>
      </w:r>
    </w:p>
    <w:p>
      <w:pPr>
        <w:pStyle w:val="ListParagraph"/>
        <w:numPr>
          <w:ilvl w:val="0"/>
          <w:numId w:val="2"/>
        </w:numPr>
        <w:spacing w:after="56" w:line="248"/>
      </w:pPr>
      <w:r>
        <w:rPr>
          <w:b/>
          <w:bCs/>
          <w:sz w:val="19"/>
          <w:szCs w:val="19"/>
        </w:rPr>
        <w:t xml:space="preserve">Selection score: </w:t>
      </w:r>
      <w:r>
        <w:rPr>
          <w:sz w:val="19"/>
          <w:szCs w:val="19"/>
        </w:rPr>
        <w:t xml:space="preserve">combined rank of (i) 12-month price momentum skipping the most recent month (12–1), and (ii) quality (positive free cash flow / profitability, returns on capital, low leverage). Exclude the bottom quality decile.</w:t>
      </w:r>
    </w:p>
    <w:p>
      <w:pPr>
        <w:pStyle w:val="ListParagraph"/>
        <w:numPr>
          <w:ilvl w:val="0"/>
          <w:numId w:val="2"/>
        </w:numPr>
        <w:spacing w:after="56" w:line="248"/>
      </w:pPr>
      <w:r>
        <w:rPr>
          <w:b/>
          <w:bCs/>
          <w:sz w:val="19"/>
          <w:szCs w:val="19"/>
        </w:rPr>
        <w:t xml:space="preserve">Sizing: </w:t>
      </w:r>
      <w:r>
        <w:rPr>
          <w:sz w:val="19"/>
          <w:szCs w:val="19"/>
        </w:rPr>
        <w:t xml:space="preserve">target ~20–35 core names, equal-weight at entry. Rank on a rolling basis with semiannual review — never a single calendar-date snapshot.</w:t>
      </w:r>
    </w:p>
    <w:p>
      <w:pPr>
        <w:pStyle w:val="Heading1"/>
      </w:pPr>
      <w:r>
        <w:t xml:space="preserve">3. Portfolio construction &amp; concentration</w:t>
      </w:r>
    </w:p>
    <w:p>
      <w:pPr>
        <w:pStyle w:val="ListParagraph"/>
        <w:numPr>
          <w:ilvl w:val="0"/>
          <w:numId w:val="2"/>
        </w:numPr>
        <w:spacing w:after="56" w:line="248"/>
      </w:pPr>
      <w:r>
        <w:rPr>
          <w:b/>
          <w:bCs/>
          <w:sz w:val="19"/>
          <w:szCs w:val="19"/>
        </w:rPr>
        <w:t xml:space="preserve">Equal-weight at entry only</w:t>
      </w:r>
      <w:r>
        <w:rPr>
          <w:sz w:val="19"/>
          <w:szCs w:val="19"/>
        </w:rPr>
        <w:t xml:space="preserve">; thereafter positions drift — winners are not trimmed back to a target weight.</w:t>
      </w:r>
    </w:p>
    <w:p>
      <w:pPr>
        <w:pStyle w:val="ListParagraph"/>
        <w:numPr>
          <w:ilvl w:val="0"/>
          <w:numId w:val="2"/>
        </w:numPr>
        <w:spacing w:after="56" w:line="248"/>
      </w:pPr>
      <w:r>
        <w:rPr>
          <w:b/>
          <w:bCs/>
          <w:sz w:val="19"/>
          <w:szCs w:val="19"/>
        </w:rPr>
        <w:t xml:space="preserve">Concentration is accepted as a by-product of conviction</w:t>
      </w:r>
      <w:r>
        <w:rPr>
          <w:sz w:val="19"/>
          <w:szCs w:val="19"/>
        </w:rPr>
        <w:t xml:space="preserve"> (no hard sector cap). Thematic concentration is permitted by design.</w:t>
      </w:r>
    </w:p>
    <w:p>
      <w:pPr>
        <w:pStyle w:val="ListParagraph"/>
        <w:numPr>
          <w:ilvl w:val="0"/>
          <w:numId w:val="2"/>
        </w:numPr>
        <w:spacing w:after="56" w:line="248"/>
      </w:pPr>
      <w:r>
        <w:rPr>
          <w:sz w:val="19"/>
          <w:szCs w:val="19"/>
        </w:rPr>
        <w:t xml:space="preserve">Diversification is achieved by </w:t>
      </w:r>
      <w:r>
        <w:rPr>
          <w:b/>
          <w:bCs/>
          <w:sz w:val="19"/>
          <w:szCs w:val="19"/>
        </w:rPr>
        <w:t xml:space="preserve">deploying new contributions and harvested proceeds into new / under-represented ideas</w:t>
      </w:r>
      <w:r>
        <w:rPr>
          <w:sz w:val="19"/>
          <w:szCs w:val="19"/>
        </w:rPr>
        <w:t xml:space="preserve"> — not by selling winners.</w:t>
      </w:r>
    </w:p>
    <w:p>
      <w:pPr>
        <w:pStyle w:val="ListParagraph"/>
        <w:numPr>
          <w:ilvl w:val="0"/>
          <w:numId w:val="2"/>
        </w:numPr>
        <w:spacing w:after="56" w:line="248"/>
      </w:pPr>
      <w:r>
        <w:rPr>
          <w:b/>
          <w:bCs/>
          <w:sz w:val="19"/>
          <w:szCs w:val="19"/>
        </w:rPr>
        <w:t xml:space="preserve">No portfolio volatility targeting</w:t>
      </w:r>
      <w:r>
        <w:rPr>
          <w:sz w:val="19"/>
          <w:szCs w:val="19"/>
        </w:rPr>
        <w:t xml:space="preserve"> (it would force selling appreciated holdings). Risk is managed via selection quality and the emerging-sleeve cap.</w:t>
      </w:r>
    </w:p>
    <w:p>
      <w:pPr>
        <w:pStyle w:val="Heading1"/>
      </w:pPr>
      <w:r>
        <w:t xml:space="preserve">4. Two-tier hold / sell logic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700"/>
        <w:gridCol w:w="2500"/>
        <w:gridCol w:w="3060"/>
        <w:gridCol w:w="21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Hold</w:t>
            </w:r>
          </w:p>
        </w:tc>
        <w:tc>
          <w:tcPr>
            <w:tcW w:type="dxa" w:w="306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Sell trigger</w:t>
            </w:r>
          </w:p>
        </w:tc>
        <w:tc>
          <w:tcPr>
            <w:tcW w:type="dxa" w:w="21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Tax intent</w:t>
            </w:r>
          </w:p>
        </w:tc>
      </w:tr>
      <w:tr>
        <w:tc>
          <w:tcPr>
            <w:tcW w:type="dxa" w:w="1700"/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Core (conviction)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Minimum 1 year; let winners run</w:t>
            </w:r>
          </w:p>
        </w:tc>
        <w:tc>
          <w:tcPr>
            <w:tcW w:type="dxa" w:w="30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Only on (a) deterioration in company fundamentals or (b) a macro thesis break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Defer to long-term (20%) and beyond; never sell to rebalance</w:t>
            </w:r>
          </w:p>
        </w:tc>
      </w:tr>
      <w:tr>
        <w:tc>
          <w:tcPr>
            <w:tcW w:type="dxa" w:w="1700"/>
            <w:shd w:fill="FDF2E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Probation (new / low-conviction)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Evaluated inside the first 12 months</w:t>
            </w:r>
          </w:p>
        </w:tc>
        <w:tc>
          <w:tcPr>
            <w:tcW w:type="dxa" w:w="30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Relegate &amp; redeploy if the thesis fails to develop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Cut disappointments while short-term; harvest the loss at 32% offset value</w:t>
            </w:r>
          </w:p>
        </w:tc>
      </w:tr>
    </w:tbl>
    <w:p>
      <w:pPr>
        <w:spacing w:after="60" w:before="100"/>
      </w:pPr>
      <w:r>
        <w:rPr>
          <w:b/>
          <w:bCs/>
          <w:color w:val="0C447C"/>
          <w:sz w:val="19"/>
          <w:szCs w:val="19"/>
        </w:rPr>
        <w:t xml:space="preserve">Firm rules:</w:t>
      </w:r>
    </w:p>
    <w:p>
      <w:pPr>
        <w:pStyle w:val="ListParagraph"/>
        <w:numPr>
          <w:ilvl w:val="0"/>
          <w:numId w:val="2"/>
        </w:numPr>
        <w:spacing w:after="56" w:line="248"/>
      </w:pPr>
      <w:r>
        <w:rPr>
          <w:b/>
          <w:bCs/>
          <w:sz w:val="19"/>
          <w:szCs w:val="19"/>
        </w:rPr>
        <w:t xml:space="preserve">Any position carrying a significant gain is held 1 year-plus</w:t>
      </w:r>
      <w:r>
        <w:rPr>
          <w:sz w:val="19"/>
          <w:szCs w:val="19"/>
        </w:rPr>
        <w:t xml:space="preserve"> — never realized short-term. Significant gainers are promoted to Core by definition.</w:t>
      </w:r>
    </w:p>
    <w:p>
      <w:pPr>
        <w:pStyle w:val="ListParagraph"/>
        <w:numPr>
          <w:ilvl w:val="0"/>
          <w:numId w:val="2"/>
        </w:numPr>
        <w:spacing w:after="56" w:line="248"/>
      </w:pPr>
      <w:r>
        <w:rPr>
          <w:b/>
          <w:bCs/>
          <w:sz w:val="19"/>
          <w:szCs w:val="19"/>
        </w:rPr>
        <w:t xml:space="preserve">The one-year mark is a decision checkpoint, not an automatic sell.</w:t>
      </w:r>
      <w:r>
        <w:rPr>
          <w:sz w:val="19"/>
          <w:szCs w:val="19"/>
        </w:rPr>
        <w:t xml:space="preserve"> A probation name that is working is promoted (held past a year, let run); only disappointments are relegated — no rule may guillotine a nascent winner the month before it earns long-term status.</w:t>
      </w:r>
    </w:p>
    <w:p>
      <w:pPr>
        <w:pStyle w:val="Heading1"/>
      </w:pPr>
      <w:r>
        <w:t xml:space="preserve">5. Emerging-leaders sleeve</w:t>
      </w:r>
    </w:p>
    <w:p>
      <w:pPr>
        <w:pStyle w:val="ListParagraph"/>
        <w:numPr>
          <w:ilvl w:val="0"/>
          <w:numId w:val="2"/>
        </w:numPr>
        <w:spacing w:after="56" w:line="248"/>
      </w:pPr>
      <w:r>
        <w:rPr>
          <w:b/>
          <w:bCs/>
          <w:sz w:val="19"/>
          <w:szCs w:val="19"/>
        </w:rPr>
        <w:t xml:space="preserve">Purpose: </w:t>
      </w:r>
      <w:r>
        <w:rPr>
          <w:sz w:val="19"/>
          <w:szCs w:val="19"/>
        </w:rPr>
        <w:t xml:space="preserve">small, convex bets on newly-public / nascent leaders (e.g., a future Anthropic or OpenAI listing).</w:t>
      </w:r>
    </w:p>
    <w:p>
      <w:pPr>
        <w:pStyle w:val="ListParagraph"/>
        <w:numPr>
          <w:ilvl w:val="0"/>
          <w:numId w:val="2"/>
        </w:numPr>
        <w:spacing w:after="56" w:line="248"/>
      </w:pPr>
      <w:r>
        <w:rPr>
          <w:b/>
          <w:bCs/>
          <w:sz w:val="19"/>
          <w:szCs w:val="19"/>
        </w:rPr>
        <w:t xml:space="preserve">Caps: </w:t>
      </w:r>
      <w:r>
        <w:rPr>
          <w:sz w:val="19"/>
          <w:szCs w:val="19"/>
        </w:rPr>
        <w:t xml:space="preserve">≤ 15% of the portfolio in aggregate; ≤ 3% per name at entry.</w:t>
      </w:r>
    </w:p>
    <w:p>
      <w:pPr>
        <w:pStyle w:val="ListParagraph"/>
        <w:numPr>
          <w:ilvl w:val="0"/>
          <w:numId w:val="2"/>
        </w:numPr>
        <w:spacing w:after="56" w:line="248"/>
      </w:pPr>
      <w:r>
        <w:rPr>
          <w:b/>
          <w:bCs/>
          <w:sz w:val="19"/>
          <w:szCs w:val="19"/>
        </w:rPr>
        <w:t xml:space="preserve">Rule-based inclusion (no discretionary naming): </w:t>
      </w:r>
      <w:r>
        <w:rPr>
          <w:sz w:val="19"/>
          <w:szCs w:val="19"/>
        </w:rPr>
        <w:t xml:space="preserve">publicly listed ≥ 6–12 months; market cap and dollar-ADV above set floors; positive revenue growth; momentum-since-listing in the top tier.</w:t>
      </w:r>
    </w:p>
    <w:p>
      <w:pPr>
        <w:pStyle w:val="ListParagraph"/>
        <w:numPr>
          <w:ilvl w:val="0"/>
          <w:numId w:val="2"/>
        </w:numPr>
        <w:spacing w:after="56" w:line="248"/>
      </w:pPr>
      <w:r>
        <w:rPr>
          <w:b/>
          <w:bCs/>
          <w:sz w:val="19"/>
          <w:szCs w:val="19"/>
        </w:rPr>
        <w:t xml:space="preserve">Lifecycle: </w:t>
      </w:r>
      <w:r>
        <w:rPr>
          <w:sz w:val="19"/>
          <w:szCs w:val="19"/>
        </w:rPr>
        <w:t xml:space="preserve">winners graduate into the Core (let run, long-term); failures are relegated and harvested. Funded from new cash and harvested proceeds.</w:t>
      </w:r>
    </w:p>
    <w:p>
      <w:pPr>
        <w:pStyle w:val="Heading1"/>
      </w:pPr>
      <w:r>
        <w:t xml:space="preserve">6. Tax &amp; loss-harvesting rules</w:t>
      </w:r>
    </w:p>
    <w:p>
      <w:pPr>
        <w:pStyle w:val="ListParagraph"/>
        <w:numPr>
          <w:ilvl w:val="0"/>
          <w:numId w:val="2"/>
        </w:numPr>
        <w:spacing w:after="56" w:line="248"/>
      </w:pPr>
      <w:r>
        <w:rPr>
          <w:b/>
          <w:bCs/>
          <w:sz w:val="19"/>
          <w:szCs w:val="19"/>
        </w:rPr>
        <w:t xml:space="preserve">Rates assumed: </w:t>
      </w:r>
      <w:r>
        <w:rPr>
          <w:sz w:val="19"/>
          <w:szCs w:val="19"/>
        </w:rPr>
        <w:t xml:space="preserve">32% short-term / 20% long-term (confirm NIIT and state treatment with a CPA).</w:t>
      </w:r>
    </w:p>
    <w:p>
      <w:pPr>
        <w:pStyle w:val="ListParagraph"/>
        <w:numPr>
          <w:ilvl w:val="0"/>
          <w:numId w:val="2"/>
        </w:numPr>
        <w:spacing w:after="56" w:line="248"/>
      </w:pPr>
      <w:r>
        <w:rPr>
          <w:b/>
          <w:bCs/>
          <w:sz w:val="19"/>
          <w:szCs w:val="19"/>
        </w:rPr>
        <w:t xml:space="preserve">Harvest realized losses systematically</w:t>
      </w:r>
      <w:r>
        <w:rPr>
          <w:sz w:val="19"/>
          <w:szCs w:val="19"/>
        </w:rPr>
        <w:t xml:space="preserve">, prioritizing short-term losses (they offset 32% income first); rotate proceeds into a similarly-ranked, non-substantially-identical replacement to stay invested and remain wash-sale-compliant (≥ 31-day separation on identical securities).</w:t>
      </w:r>
    </w:p>
    <w:p>
      <w:pPr>
        <w:pStyle w:val="ListParagraph"/>
        <w:numPr>
          <w:ilvl w:val="0"/>
          <w:numId w:val="2"/>
        </w:numPr>
        <w:spacing w:after="56" w:line="248"/>
      </w:pPr>
      <w:r>
        <w:rPr>
          <w:b/>
          <w:bCs/>
          <w:sz w:val="19"/>
          <w:szCs w:val="19"/>
        </w:rPr>
        <w:t xml:space="preserve">Defer gains by default; never trim a winner to rebalance.</w:t>
      </w:r>
      <w:r>
        <w:rPr>
          <w:sz w:val="19"/>
          <w:szCs w:val="19"/>
        </w:rPr>
        <w:t xml:space="preserve"> Terminal realization is on the owner’s terms (or via step-up / charitable gifting of appreciated shares).</w:t>
      </w:r>
    </w:p>
    <w:p>
      <w:pPr>
        <w:pStyle w:val="ListParagraph"/>
        <w:numPr>
          <w:ilvl w:val="0"/>
          <w:numId w:val="2"/>
        </w:numPr>
        <w:spacing w:after="56" w:line="248"/>
      </w:pPr>
      <w:r>
        <w:rPr>
          <w:sz w:val="19"/>
          <w:szCs w:val="19"/>
        </w:rPr>
        <w:t xml:space="preserve">Reuse existing platform controls where applicable: </w:t>
      </w:r>
      <w:r>
        <w:rPr>
          <w:i/>
          <w:iCs/>
          <w:sz w:val="19"/>
          <w:szCs w:val="19"/>
        </w:rPr>
        <w:t xml:space="preserve">LTCG override, anti-churn, wash-sale awareness, tax-lot router.</w:t>
      </w:r>
    </w:p>
    <w:p>
      <w:pPr>
        <w:pStyle w:val="Heading1"/>
      </w:pPr>
      <w:r>
        <w:t xml:space="preserve">7. Validation / test plan (must pass before any capital)</w:t>
      </w:r>
    </w:p>
    <w:p>
      <w:pPr>
        <w:pStyle w:val="ListParagraph"/>
        <w:numPr>
          <w:ilvl w:val="0"/>
          <w:numId w:val="2"/>
        </w:numPr>
        <w:spacing w:after="56" w:line="248"/>
      </w:pPr>
      <w:r>
        <w:rPr>
          <w:b/>
          <w:bCs/>
          <w:sz w:val="19"/>
          <w:szCs w:val="19"/>
        </w:rPr>
        <w:t xml:space="preserve">Data: </w:t>
      </w:r>
      <w:r>
        <w:rPr>
          <w:sz w:val="19"/>
          <w:szCs w:val="19"/>
        </w:rPr>
        <w:t xml:space="preserve">point-in-time, survivorship-free universe with delisted names and as-of fundamentals.</w:t>
      </w:r>
    </w:p>
    <w:p>
      <w:pPr>
        <w:pStyle w:val="ListParagraph"/>
        <w:numPr>
          <w:ilvl w:val="0"/>
          <w:numId w:val="2"/>
        </w:numPr>
        <w:spacing w:after="56" w:line="248"/>
      </w:pPr>
      <w:r>
        <w:rPr>
          <w:b/>
          <w:bCs/>
          <w:sz w:val="19"/>
          <w:szCs w:val="19"/>
        </w:rPr>
        <w:t xml:space="preserve">Method: </w:t>
      </w:r>
      <w:r>
        <w:rPr>
          <w:sz w:val="19"/>
          <w:szCs w:val="19"/>
        </w:rPr>
        <w:t xml:space="preserve">out-of-sample split; scored after-tax (32 / 20 + wash sale) and after realistic costs and slippage.</w:t>
      </w:r>
    </w:p>
    <w:p>
      <w:pPr>
        <w:pStyle w:val="ListParagraph"/>
        <w:numPr>
          <w:ilvl w:val="0"/>
          <w:numId w:val="2"/>
        </w:numPr>
        <w:spacing w:after="56" w:line="248"/>
      </w:pPr>
      <w:r>
        <w:rPr>
          <w:b/>
          <w:bCs/>
          <w:sz w:val="19"/>
          <w:szCs w:val="19"/>
        </w:rPr>
        <w:t xml:space="preserve">Promotion bar: </w:t>
      </w:r>
      <w:r>
        <w:rPr>
          <w:sz w:val="19"/>
          <w:szCs w:val="19"/>
        </w:rPr>
        <w:t xml:space="preserve">beat QQQ, SPY, and L1 on after-tax terminal wealth and after-tax risk-adjusted return (Ulcer / Calmar), out-of-sample, with drawdown inside tolerance. Pre-register rules; change no default without aggregate OOS evidence.</w:t>
      </w:r>
    </w:p>
    <w:p>
      <w:pPr>
        <w:pStyle w:val="ListParagraph"/>
        <w:numPr>
          <w:ilvl w:val="0"/>
          <w:numId w:val="2"/>
        </w:numPr>
        <w:spacing w:after="56" w:line="248"/>
      </w:pPr>
      <w:r>
        <w:rPr>
          <w:b/>
          <w:bCs/>
          <w:sz w:val="19"/>
          <w:szCs w:val="19"/>
        </w:rPr>
        <w:t xml:space="preserve">Ablations: </w:t>
      </w:r>
      <w:r>
        <w:rPr>
          <w:sz w:val="19"/>
          <w:szCs w:val="19"/>
        </w:rPr>
        <w:t xml:space="preserve">core-only vs core+sleeve; with vs without harvesting; momentum-window sensitivity — to attribute where any edge actually comes from.</w:t>
      </w:r>
    </w:p>
    <w:p>
      <w:pPr>
        <w:pStyle w:val="Heading1"/>
      </w:pPr>
      <w:r>
        <w:t xml:space="preserve">8. Key risks &amp; caveats</w:t>
      </w:r>
    </w:p>
    <w:p>
      <w:pPr>
        <w:pStyle w:val="ListParagraph"/>
        <w:numPr>
          <w:ilvl w:val="0"/>
          <w:numId w:val="2"/>
        </w:numPr>
        <w:spacing w:after="56" w:line="248"/>
      </w:pPr>
      <w:r>
        <w:rPr>
          <w:sz w:val="19"/>
          <w:szCs w:val="19"/>
        </w:rPr>
        <w:t xml:space="preserve">Concentration / single-factor risk (e.g., the semiconductor cycle) is accepted by design; expect index-like or deeper drawdowns.</w:t>
      </w:r>
    </w:p>
    <w:p>
      <w:pPr>
        <w:pStyle w:val="ListParagraph"/>
        <w:numPr>
          <w:ilvl w:val="0"/>
          <w:numId w:val="2"/>
        </w:numPr>
        <w:spacing w:after="56" w:line="248"/>
      </w:pPr>
      <w:r>
        <w:rPr>
          <w:sz w:val="19"/>
          <w:szCs w:val="19"/>
        </w:rPr>
        <w:t xml:space="preserve">Short formation windows risk reversal and IPO names risk post-listing underperformance — mitigated by the 12–1 window, the quality screen, and the sleeve cap.</w:t>
      </w:r>
    </w:p>
    <w:p>
      <w:pPr>
        <w:pStyle w:val="ListParagraph"/>
        <w:numPr>
          <w:ilvl w:val="0"/>
          <w:numId w:val="2"/>
        </w:numPr>
        <w:spacing w:after="56" w:line="248"/>
      </w:pPr>
      <w:r>
        <w:rPr>
          <w:sz w:val="19"/>
          <w:szCs w:val="19"/>
        </w:rPr>
        <w:t xml:space="preserve">After-tax outperformance of a cap-weighted index is genuinely hard; the most reliable edge is the harvesting / deferral discipline, not stock selection.</w:t>
      </w:r>
    </w:p>
    <w:p>
      <w:pPr>
        <w:pStyle w:val="ListParagraph"/>
        <w:numPr>
          <w:ilvl w:val="0"/>
          <w:numId w:val="2"/>
        </w:numPr>
        <w:spacing w:after="56" w:line="248"/>
      </w:pPr>
      <w:r>
        <w:rPr>
          <w:sz w:val="19"/>
          <w:szCs w:val="19"/>
        </w:rPr>
        <w:t xml:space="preserve">Figures will be backtested; simulated past performance does not predict results. This document is a strategy specification, not investment advice.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780"/>
        <w:sz w:val="15"/>
        <w:szCs w:val="15"/>
      </w:rPr>
      <w:t xml:space="preserve">CCEL Strategy Specification · Draft v1 · </w:t>
    </w:r>
    <w:r>
      <w:rPr>
        <w:color w:val="8887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70" w:before="160"/>
      <w:outlineLvl w:val="0"/>
    </w:pPr>
    <w:rPr>
      <w:rFonts w:ascii="Arial" w:cs="Arial" w:eastAsia="Arial" w:hAnsi="Arial"/>
      <w:b/>
      <w:bCs/>
      <w:color w:val="0C447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CCEL Strategy &amp; Investment-Policy Specification</dc:title>
  <dc:creator>CCEL Strategy Spec</dc:creator>
  <cp:lastModifiedBy>Un-named</cp:lastModifiedBy>
  <cp:revision>1</cp:revision>
  <dcterms:created xsi:type="dcterms:W3CDTF">2026-06-13T18:20:01.730Z</dcterms:created>
  <dcterms:modified xsi:type="dcterms:W3CDTF">2026-06-13T18:20:01.730Z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