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30"/>
      </w:pPr>
      <w:r>
        <w:rPr>
          <w:b/>
          <w:bCs/>
          <w:color w:val="0C447C"/>
          <w:sz w:val="32"/>
          <w:szCs w:val="32"/>
        </w:rPr>
        <w:t xml:space="preserve">CCEL v1a — Close-Out Memo</w:t>
      </w:r>
    </w:p>
    <w:p>
      <w:pPr>
        <w:spacing w:after="18" w:before="60"/>
      </w:pPr>
      <w:r>
        <w:rPr>
          <w:b/>
          <w:bCs/>
          <w:color w:val="444441"/>
          <w:sz w:val="19"/>
          <w:szCs w:val="19"/>
        </w:rPr>
        <w:t xml:space="preserve">Decision:  </w:t>
      </w:r>
      <w:r>
        <w:rPr>
          <w:color w:val="991B1B"/>
          <w:sz w:val="19"/>
          <w:szCs w:val="19"/>
        </w:rPr>
        <w:t xml:space="preserve">CLOSED — not promoted to v1b. Research-only. No production defaults changed.</w:t>
      </w:r>
    </w:p>
    <w:p>
      <w:pPr>
        <w:spacing w:after="18" w:before="60"/>
      </w:pPr>
      <w:r>
        <w:rPr>
          <w:b/>
          <w:bCs/>
          <w:color w:val="444441"/>
          <w:sz w:val="19"/>
          <w:szCs w:val="19"/>
        </w:rPr>
        <w:t xml:space="preserve">Scope:  </w:t>
      </w:r>
      <w:r>
        <w:rPr>
          <w:sz w:val="19"/>
          <w:szCs w:val="19"/>
        </w:rPr>
        <w:t xml:space="preserve">CCEL v1a (Compounder Core + Emerging-Leaders Sleeve), campaign-basket proxy, 2006–2025 and 1996–2015.</w:t>
      </w:r>
    </w:p>
    <w:p>
      <w:pPr>
        <w:spacing w:after="18" w:before="60"/>
      </w:pPr>
      <w:r>
        <w:rPr>
          <w:b/>
          <w:bCs/>
          <w:color w:val="444441"/>
          <w:sz w:val="19"/>
          <w:szCs w:val="19"/>
        </w:rPr>
        <w:t xml:space="preserve">Status of data:  </w:t>
      </w:r>
      <w:r>
        <w:rPr>
          <w:sz w:val="19"/>
          <w:szCs w:val="19"/>
        </w:rPr>
        <w:t xml:space="preserve">NOT survivorship-free — exploratory proxy. A pass cannot certify edge; a fail is a kill-switch.</w:t>
      </w:r>
    </w:p>
    <w:p>
      <w:pPr>
        <w:spacing w:after="18" w:before="60"/>
      </w:pPr>
      <w:r>
        <w:rPr>
          <w:b/>
          <w:bCs/>
          <w:color w:val="444441"/>
          <w:sz w:val="19"/>
          <w:szCs w:val="19"/>
        </w:rPr>
        <w:t xml:space="preserve">Date:  </w:t>
      </w:r>
      <w:r>
        <w:rPr>
          <w:sz w:val="19"/>
          <w:szCs w:val="19"/>
        </w:rPr>
        <w:t xml:space="preserve">June 13, 2026</w:t>
      </w:r>
    </w:p>
    <w:p>
      <w:pPr>
        <w:pStyle w:val="Heading1"/>
      </w:pPr>
      <w:r>
        <w:t xml:space="preserve">1. Decision</w:t>
      </w:r>
    </w:p>
    <w:p>
      <w:pPr>
        <w:spacing w:after="90" w:before="0" w:line="252"/>
      </w:pPr>
      <w:r>
        <w:rPr>
          <w:sz w:val="19"/>
          <w:szCs w:val="19"/>
        </w:rPr>
        <w:t xml:space="preserve">CCEL v1a is closed. It is </w:t>
      </w:r>
      <w:r>
        <w:rPr>
          <w:b/>
          <w:bCs/>
          <w:sz w:val="19"/>
          <w:szCs w:val="19"/>
        </w:rPr>
        <w:t xml:space="preserve">not promoted to v1b</w:t>
      </w:r>
      <w:r>
        <w:rPr>
          <w:sz w:val="19"/>
          <w:szCs w:val="19"/>
        </w:rPr>
        <w:t xml:space="preserve">. It remains a research-only arm with the “NOT survivorship-free” proxy label preserved, and </w:t>
      </w:r>
      <w:r>
        <w:rPr>
          <w:b/>
          <w:bCs/>
          <w:sz w:val="19"/>
          <w:szCs w:val="19"/>
        </w:rPr>
        <w:t xml:space="preserve">no production trading defaults were changed</w:t>
      </w:r>
      <w:r>
        <w:rPr>
          <w:sz w:val="19"/>
          <w:szCs w:val="19"/>
        </w:rPr>
        <w:t xml:space="preserve">. The kill is recorded on the valid harvest-off arms (see §4): CCEL shows no robust cross-window edge over the L1 baseline.</w:t>
      </w:r>
    </w:p>
    <w:p>
      <w:pPr>
        <w:pStyle w:val="Heading1"/>
      </w:pPr>
      <w:r>
        <w:t xml:space="preserve">2. Result on the valid (harvest-off) arms</w:t>
      </w:r>
    </w:p>
    <w:p>
      <w:pPr>
        <w:spacing w:after="90" w:before="0" w:line="252"/>
      </w:pPr>
      <w:r>
        <w:rPr>
          <w:sz w:val="19"/>
          <w:szCs w:val="19"/>
        </w:rPr>
        <w:t xml:space="preserve">After-tax terminal value of $100,000 (32% short-term / 20% long-term, wash-sale aware), held-to-horizon liquidation basis: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60"/>
        <w:gridCol w:w="1700"/>
        <w:gridCol w:w="1100"/>
        <w:gridCol w:w="1700"/>
        <w:gridCol w:w="1100"/>
      </w:tblGrid>
      <w:tr>
        <w:trPr>
          <w:tblHeader/>
        </w:trPr>
        <w:tc>
          <w:tcPr>
            <w:tcW w:type="dxa" w:w="3160"/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Arm (harvest-off)</w:t>
            </w:r>
          </w:p>
        </w:tc>
        <w:tc>
          <w:tcPr>
            <w:tcW w:type="dxa" w:w="1700"/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2006–25 after-tax</w:t>
            </w:r>
          </w:p>
        </w:tc>
        <w:tc>
          <w:tcPr>
            <w:tcW w:type="dxa" w:w="1100"/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CAGR</w:t>
            </w:r>
          </w:p>
        </w:tc>
        <w:tc>
          <w:tcPr>
            <w:tcW w:type="dxa" w:w="1700"/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1996–15 after-tax</w:t>
            </w:r>
          </w:p>
        </w:tc>
        <w:tc>
          <w:tcPr>
            <w:tcW w:type="dxa" w:w="1100"/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CAGR</w:t>
            </w:r>
          </w:p>
        </w:tc>
      </w:tr>
      <w:tr>
        <w:tc>
          <w:tcPr>
            <w:tcW w:type="dxa" w:w="316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CCEL core-only</w:t>
            </w:r>
          </w:p>
        </w:tc>
        <w:tc>
          <w:tcPr>
            <w:tcW w:type="dxa" w:w="17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$4.11M</w:t>
            </w:r>
          </w:p>
        </w:tc>
        <w:tc>
          <w:tcPr>
            <w:tcW w:type="dxa" w:w="11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20.4%</w:t>
            </w:r>
          </w:p>
        </w:tc>
        <w:tc>
          <w:tcPr>
            <w:tcW w:type="dxa" w:w="17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$0.95M</w:t>
            </w:r>
          </w:p>
        </w:tc>
        <w:tc>
          <w:tcPr>
            <w:tcW w:type="dxa" w:w="11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11.9%</w:t>
            </w:r>
          </w:p>
        </w:tc>
      </w:tr>
      <w:tr>
        <w:tc>
          <w:tcPr>
            <w:tcW w:type="dxa" w:w="316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CCEL core+probation</w:t>
            </w:r>
          </w:p>
        </w:tc>
        <w:tc>
          <w:tcPr>
            <w:tcW w:type="dxa" w:w="17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$2.96M</w:t>
            </w:r>
          </w:p>
        </w:tc>
        <w:tc>
          <w:tcPr>
            <w:tcW w:type="dxa" w:w="11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18.5%</w:t>
            </w:r>
          </w:p>
        </w:tc>
        <w:tc>
          <w:tcPr>
            <w:tcW w:type="dxa" w:w="17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$0.67M</w:t>
            </w:r>
          </w:p>
        </w:tc>
        <w:tc>
          <w:tcPr>
            <w:tcW w:type="dxa" w:w="11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10.0%</w:t>
            </w:r>
          </w:p>
        </w:tc>
      </w:tr>
      <w:tr>
        <w:tc>
          <w:tcPr>
            <w:tcW w:type="dxa" w:w="3160"/>
            <w:shd w:fill="EAF1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L1 (vol-target) — baseline</w:t>
            </w:r>
          </w:p>
        </w:tc>
        <w:tc>
          <w:tcPr>
            <w:tcW w:type="dxa" w:w="1700"/>
            <w:shd w:fill="EAF1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$1.82M</w:t>
            </w:r>
          </w:p>
        </w:tc>
        <w:tc>
          <w:tcPr>
            <w:tcW w:type="dxa" w:w="1100"/>
            <w:shd w:fill="EAF1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15.6%</w:t>
            </w:r>
          </w:p>
        </w:tc>
        <w:tc>
          <w:tcPr>
            <w:tcW w:type="dxa" w:w="1700"/>
            <w:shd w:fill="EAF1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$1.36M</w:t>
            </w:r>
          </w:p>
        </w:tc>
        <w:tc>
          <w:tcPr>
            <w:tcW w:type="dxa" w:w="1100"/>
            <w:shd w:fill="EAF1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13.9%</w:t>
            </w:r>
          </w:p>
        </w:tc>
      </w:tr>
      <w:tr>
        <w:tc>
          <w:tcPr>
            <w:tcW w:type="dxa" w:w="316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Campaign 3 winner</w:t>
            </w:r>
          </w:p>
        </w:tc>
        <w:tc>
          <w:tcPr>
            <w:tcW w:type="dxa" w:w="17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$1.95M</w:t>
            </w:r>
          </w:p>
        </w:tc>
        <w:tc>
          <w:tcPr>
            <w:tcW w:type="dxa" w:w="11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17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$1.50M</w:t>
            </w:r>
          </w:p>
        </w:tc>
        <w:tc>
          <w:tcPr>
            <w:tcW w:type="dxa" w:w="11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14.5%</w:t>
            </w:r>
          </w:p>
        </w:tc>
      </w:tr>
      <w:tr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QQQ buy &amp; hold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$1.43M</w:t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14.2%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$0.21M</w:t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3.8%</w:t>
            </w:r>
          </w:p>
        </w:tc>
      </w:tr>
      <w:tr>
        <w:tc>
          <w:tcPr>
            <w:tcW w:type="dxa" w:w="316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SPY buy &amp; hold</w:t>
            </w:r>
          </w:p>
        </w:tc>
        <w:tc>
          <w:tcPr>
            <w:tcW w:type="dxa" w:w="17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$0.65M</w:t>
            </w:r>
          </w:p>
        </w:tc>
        <w:tc>
          <w:tcPr>
            <w:tcW w:type="dxa" w:w="11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9.8%</w:t>
            </w:r>
          </w:p>
        </w:tc>
        <w:tc>
          <w:tcPr>
            <w:tcW w:type="dxa" w:w="17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$0.40M</w:t>
            </w:r>
          </w:p>
        </w:tc>
        <w:tc>
          <w:tcPr>
            <w:tcW w:type="dxa" w:w="1100"/>
            <w:shd w:fill="F4F6F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</w:tr>
    </w:tbl>
    <w:p>
      <w:pPr>
        <w:spacing w:after="90" w:before="0" w:line="252"/>
      </w:pPr>
      <w:r>
        <w:rPr>
          <w:b/>
          <w:bCs/>
          <w:sz w:val="19"/>
          <w:szCs w:val="19"/>
        </w:rPr>
        <w:t xml:space="preserve">Kill rationale: </w:t>
      </w:r>
      <w:r>
        <w:rPr>
          <w:sz w:val="19"/>
          <w:szCs w:val="19"/>
        </w:rPr>
        <w:t xml:space="preserve">CCEL beats every benchmark in 2006–2025 but </w:t>
      </w:r>
      <w:r>
        <w:rPr>
          <w:b/>
          <w:bCs/>
          <w:sz w:val="19"/>
          <w:szCs w:val="19"/>
        </w:rPr>
        <w:t xml:space="preserve">loses to L1 and the Campaign 3 winner in 1996–2015</w:t>
      </w:r>
      <w:r>
        <w:rPr>
          <w:sz w:val="19"/>
          <w:szCs w:val="19"/>
        </w:rPr>
        <w:t xml:space="preserve">, while carrying deeper drawdowns (−49% to −51%) and a worse Ulcer than L1 in the recent window. An edge that appears only in the era that flatters the survivorship-biased basket — and reverses in the other 20-year window — is not an edge. This is consistent with every prior campaign: the only durable result is that a low-turnover, let-winners-run quality basket compounds well but does not robustly beat a volatility-targeted basket or a passive index once hindsight is removed from name selection.</w:t>
      </w:r>
    </w:p>
    <w:p>
      <w:pPr>
        <w:pStyle w:val="Heading1"/>
      </w:pPr>
      <w:r>
        <w:t xml:space="preserve">3. The two harvest leaks (why the harvest-ON arm is excluded)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b/>
          <w:bCs/>
          <w:color w:val="1E5128"/>
          <w:sz w:val="19"/>
          <w:szCs w:val="19"/>
        </w:rPr>
        <w:t xml:space="preserve">Leak 1 — momentum replacement (FIXED): </w:t>
      </w:r>
      <w:r>
        <w:rPr>
          <w:sz w:val="19"/>
          <w:szCs w:val="19"/>
        </w:rPr>
        <w:t xml:space="preserve">harvested proceeds were redeployed through the 12-1 momentum ranker, turning “harvesting” into a winner-chasing rotation that inflated returns. Fixed via exposure-neutral redeploy plus direct post-wash re-entry (verified neutral in 1996–2015: +4.9% pre-tax).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b/>
          <w:bCs/>
          <w:color w:val="991B1B"/>
          <w:sz w:val="19"/>
          <w:szCs w:val="19"/>
        </w:rPr>
        <w:t xml:space="preserve">Leak 2 — the 31-day bridge (RESIDUAL): </w:t>
      </w:r>
      <w:r>
        <w:rPr>
          <w:sz w:val="19"/>
          <w:szCs w:val="19"/>
        </w:rPr>
        <w:t xml:space="preserve">during the 31-day wash window, harvested capital parks pro-rata in the other held names. In a trending market that is itself a momentum bet — pre-tax harvest-ON exceeds harvest-OFF by </w:t>
      </w:r>
      <w:r>
        <w:rPr>
          <w:b/>
          <w:bCs/>
          <w:sz w:val="19"/>
          <w:szCs w:val="19"/>
        </w:rPr>
        <w:t xml:space="preserve">+112% in 2006–2025 vs +4.9% in 1996–2015</w:t>
      </w:r>
      <w:r>
        <w:rPr>
          <w:sz w:val="19"/>
          <w:szCs w:val="19"/>
        </w:rPr>
        <w:t xml:space="preserve">, on 1,660 trades and 0.64 turnover. Re-entry cannot remove it because any single-name bridge destination shifts exposure.</w:t>
      </w:r>
    </w:p>
    <w:p>
      <w:pPr>
        <w:spacing w:after="90" w:before="0" w:line="252"/>
      </w:pPr>
      <w:r>
        <w:rPr>
          <w:b/>
          <w:bCs/>
          <w:sz w:val="19"/>
          <w:szCs w:val="19"/>
        </w:rPr>
        <w:t xml:space="preserve">Conclusion on harvesting: </w:t>
      </w:r>
      <w:r>
        <w:rPr>
          <w:sz w:val="19"/>
          <w:szCs w:val="19"/>
        </w:rPr>
        <w:t xml:space="preserve">single-name tax-loss harvesting cannot be made cleanly exposure-neutral on a ~30-name concentrated book — there is no correlated single-name proxy. It is a broad-universe / direct-indexing technique and is </w:t>
      </w:r>
      <w:r>
        <w:rPr>
          <w:b/>
          <w:bCs/>
          <w:sz w:val="19"/>
          <w:szCs w:val="19"/>
        </w:rPr>
        <w:t xml:space="preserve">deferred to a future broad-universe study (v2)</w:t>
      </w:r>
      <w:r>
        <w:rPr>
          <w:sz w:val="19"/>
          <w:szCs w:val="19"/>
        </w:rPr>
        <w:t xml:space="preserve">. It is excluded from the v1a verdict, which is decided on the harvest-off arms.</w:t>
      </w:r>
    </w:p>
    <w:p>
      <w:pPr>
        <w:pStyle w:val="Heading1"/>
      </w:pPr>
      <w:r>
        <w:t xml:space="preserve">4. Note on the automated gate</w:t>
      </w:r>
    </w:p>
    <w:p>
      <w:pPr>
        <w:spacing w:after="90" w:before="0" w:line="252"/>
      </w:pPr>
      <w:r>
        <w:rPr>
          <w:sz w:val="19"/>
          <w:szCs w:val="19"/>
        </w:rPr>
        <w:t xml:space="preserve">The campaign’s automated verdict keys on the harvest-ON arm (CCEL_v1a), which still contains Leak 2, and therefore reads </w:t>
      </w:r>
      <w:r>
        <w:rPr>
          <w:i/>
          <w:iCs/>
          <w:sz w:val="19"/>
          <w:szCs w:val="19"/>
        </w:rPr>
        <w:t xml:space="preserve">“not killed” in 2006–2025</w:t>
      </w:r>
      <w:r>
        <w:rPr>
          <w:sz w:val="19"/>
          <w:szCs w:val="19"/>
        </w:rPr>
        <w:t xml:space="preserve">. This close-out </w:t>
      </w:r>
      <w:r>
        <w:rPr>
          <w:b/>
          <w:bCs/>
          <w:sz w:val="19"/>
          <w:szCs w:val="19"/>
        </w:rPr>
        <w:t xml:space="preserve">overrides that flag</w:t>
      </w:r>
      <w:r>
        <w:rPr>
          <w:sz w:val="19"/>
          <w:szCs w:val="19"/>
        </w:rPr>
        <w:t xml:space="preserve"> and bases the decision on the valid harvest-off arms. The automated gate should be re-pointed at a harvest-off (or fully neutralized) arm before it is trusted for any future go/no-go.</w:t>
      </w:r>
    </w:p>
    <w:p>
      <w:pPr>
        <w:pStyle w:val="Heading1"/>
      </w:pPr>
      <w:r>
        <w:t xml:space="preserve">5. What was validated (reusable)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19"/>
          <w:szCs w:val="19"/>
        </w:rPr>
        <w:t xml:space="preserve">The FIFO tax-lot engine, two-tier hold/sell logic, post-wash re-entry, and ablation harness all work and are reusable.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19"/>
          <w:szCs w:val="19"/>
        </w:rPr>
        <w:t xml:space="preserve">The deferral mechanic is real and material: CCEL pays ~0 along the way and a single 20% long-term liability at the horizon, vs L1’s pay-as-you-go drag.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19"/>
          <w:szCs w:val="19"/>
        </w:rPr>
        <w:t xml:space="preserve">The process did its job: a strategy that showed 23% CAGR three iterations ago was honestly falsified by removing the basket bias and two layers of harvest leakage.</w:t>
      </w:r>
    </w:p>
    <w:p>
      <w:pPr>
        <w:pStyle w:val="Heading1"/>
      </w:pPr>
      <w:r>
        <w:t xml:space="preserve">6. Go-forward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b/>
          <w:bCs/>
          <w:sz w:val="19"/>
          <w:szCs w:val="19"/>
        </w:rPr>
        <w:t xml:space="preserve">No v1b</w:t>
      </w:r>
      <w:r>
        <w:rPr>
          <w:sz w:val="19"/>
          <w:szCs w:val="19"/>
        </w:rPr>
        <w:t xml:space="preserve"> on the current CCEL v1a design.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19"/>
          <w:szCs w:val="19"/>
        </w:rPr>
        <w:t xml:space="preserve">CCEL remains </w:t>
      </w:r>
      <w:r>
        <w:rPr>
          <w:b/>
          <w:bCs/>
          <w:sz w:val="19"/>
          <w:szCs w:val="19"/>
        </w:rPr>
        <w:t xml:space="preserve">research-only</w:t>
      </w:r>
      <w:r>
        <w:rPr>
          <w:sz w:val="19"/>
          <w:szCs w:val="19"/>
        </w:rPr>
        <w:t xml:space="preserve">; “NOT survivorship-free” proxy caveat preserved; no production defaults changed.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b/>
          <w:bCs/>
          <w:sz w:val="19"/>
          <w:szCs w:val="19"/>
        </w:rPr>
        <w:t xml:space="preserve">Re-open only behind all of: </w:t>
      </w:r>
      <w:r>
        <w:rPr>
          <w:sz w:val="19"/>
          <w:szCs w:val="19"/>
        </w:rPr>
        <w:t xml:space="preserve">(1) a survivorship-free, point-in-time universe with delisted names and as-of fundamentals; (2) a genuinely independent alpha hypothesis — not a re-screen of today’s winners; (3) if harvesting is revisited, a broad universe where correlated proxies make it cleanly neutral.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19"/>
          <w:szCs w:val="19"/>
        </w:rPr>
        <w:t xml:space="preserve">Optional cleanup: </w:t>
      </w:r>
      <w:r>
        <w:rPr>
          <w:sz w:val="19"/>
          <w:szCs w:val="19"/>
        </w:rPr>
        <w:t xml:space="preserve">re-point the automated gate off the harvest-ON arm; either neutralize Leak 2 (bridge to cash / market proxy) or remove the harvest arm from v1a reporting.</w:t>
      </w:r>
    </w:p>
    <w:p>
      <w:pPr>
        <w:pBdr>
          <w:top w:val="single" w:color="2E75B6" w:sz="6" w:space="6"/>
        </w:pBdr>
        <w:spacing w:before="200"/>
      </w:pPr>
      <w:r>
        <w:rPr>
          <w:b/>
          <w:bCs/>
          <w:color w:val="0C447C"/>
          <w:sz w:val="17"/>
          <w:szCs w:val="17"/>
        </w:rPr>
        <w:t xml:space="preserve">Verification: </w:t>
      </w:r>
      <w:r>
        <w:rPr>
          <w:i/>
          <w:iCs/>
          <w:color w:val="5F5E5A"/>
          <w:sz w:val="17"/>
          <w:szCs w:val="17"/>
        </w:rPr>
        <w:t xml:space="preserve">16 tests passing (CCEL, portfolio backtest, Campaign 3 slice); both campaigns rerun; results labeled NOT survivorship-free; production_defaults_changed = False. Figures are backtested simulations, not investment advice.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5"/>
        <w:szCs w:val="15"/>
      </w:rPr>
      <w:t xml:space="preserve">CCEL v1a Close-Out · CLOSED / research-only · </w:t>
    </w:r>
    <w:r>
      <w:rPr>
        <w:color w:val="8887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70"/>
      <w:outlineLvl w:val="0"/>
    </w:pPr>
    <w:rPr>
      <w:rFonts w:ascii="Arial" w:cs="Arial" w:eastAsia="Arial" w:hAnsi="Arial"/>
      <w:b/>
      <w:bCs/>
      <w:color w:val="0C447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CCEL v1a Close-Out Memo</dc:title>
  <dc:creator>CCEL v1a Close-Out</dc:creator>
  <cp:lastModifiedBy>Un-named</cp:lastModifiedBy>
  <cp:revision>1</cp:revision>
  <dcterms:created xsi:type="dcterms:W3CDTF">2026-06-13T21:58:57.388Z</dcterms:created>
  <dcterms:modified xsi:type="dcterms:W3CDTF">2026-06-13T21:58:57.391Z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