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0C447C"/>
          <w:sz w:val="52"/>
          <w:szCs w:val="52"/>
        </w:rPr>
        <w:t xml:space="preserve">Regime Autonomous Trading Agent</w:t>
      </w:r>
    </w:p>
    <w:p>
      <w:pPr>
        <w:spacing w:after="80"/>
        <w:jc w:val="center"/>
      </w:pPr>
      <w:r>
        <w:rPr>
          <w:color w:val="444441"/>
          <w:sz w:val="34"/>
          <w:szCs w:val="34"/>
        </w:rPr>
        <w:t xml:space="preserve">Consolidated Strategy &amp; Backtest Review</w:t>
      </w:r>
    </w:p>
    <w:p>
      <w:pPr>
        <w:spacing w:after="600"/>
        <w:jc w:val="center"/>
      </w:pPr>
      <w:r>
        <w:rPr>
          <w:i/>
          <w:iCs/>
          <w:color w:val="5F5E5A"/>
          <w:sz w:val="20"/>
          <w:szCs w:val="20"/>
        </w:rPr>
        <w:t xml:space="preserve">Strategy · three campaigns · alpha · drawdown &amp; recovery · Ulcer Index · after-tax P&amp;L</w:t>
      </w:r>
    </w:p>
    <w:p>
      <w:pPr>
        <w:spacing w:after="40"/>
        <w:jc w:val="center"/>
      </w:pPr>
      <w:r>
        <w:rPr>
          <w:color w:val="5F5E5A"/>
          <w:sz w:val="18"/>
          <w:szCs w:val="18"/>
        </w:rPr>
        <w:t xml:space="preserve">Module: /Investor/regime  ·  Campaign 3 git SHA 3fa406e+</w:t>
      </w:r>
    </w:p>
    <w:p>
      <w:pPr>
        <w:spacing w:after="1200"/>
        <w:jc w:val="center"/>
      </w:pPr>
      <w:r>
        <w:rPr>
          <w:color w:val="444441"/>
          <w:sz w:val="20"/>
          <w:szCs w:val="20"/>
        </w:rPr>
        <w:t xml:space="preserve">June 13, 2026</w:t>
      </w:r>
    </w:p>
    <w:p>
      <w:pPr>
        <w:pBdr>
          <w:top w:val="single" w:color="2E75B6" w:sz="6" w:space="6"/>
        </w:pBdr>
        <w:jc w:val="center"/>
      </w:pPr>
      <w:r>
        <w:rPr>
          <w:i/>
          <w:iCs/>
          <w:color w:val="5F5E5A"/>
          <w:sz w:val="16"/>
          <w:szCs w:val="16"/>
        </w:rPr>
        <w:t xml:space="preserve">Prepared as a code-and-methodology review. Not investment advice. All figures are backtested; past simulated performance does not predict future results.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before="0" w:line="276"/>
      </w:pPr>
      <w:r>
        <w:rPr>
          <w:sz w:val="21"/>
          <w:szCs w:val="21"/>
        </w:rPr>
        <w:t xml:space="preserve">Regime is an autonomous trading-agent platform whose engineering — leak-free walk-forward HMM fitting, a calibrated meta-labeler with a skill gate, a heavy gate stack, realistic event-driven backtesting, and audit trails — is unusually mature. Its measured </w:t>
      </w:r>
      <w:r>
        <w:rPr>
          <w:b/>
          <w:bCs/>
          <w:sz w:val="21"/>
          <w:szCs w:val="21"/>
        </w:rPr>
        <w:t xml:space="preserve">predictive edge, however, is the weak part of the system</w:t>
      </w:r>
      <w:r>
        <w:rPr>
          <w:sz w:val="21"/>
          <w:szCs w:val="21"/>
        </w:rPr>
        <w:t xml:space="preserve">. Across three backtest campaigns and two independent 20-year windows, the evidence converges on one conclusion: the platform’s outperformance is driven by basket construction and generic volatility targeting, while the HMM regime machinery subtracts value, and after realistic taxes the high-turnover regime arms barely beat a do-nothing index.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Headline findings (Campaign 3, equal-weight 30-name basket, $100,000, 2006–2025):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L0 — the untimed equal-weight basket — won raw return, turning $100k into </w:t>
      </w:r>
      <w:r>
        <w:rPr>
          <w:b/>
          <w:bCs/>
          <w:sz w:val="21"/>
          <w:szCs w:val="21"/>
        </w:rPr>
        <w:t xml:space="preserve">$3.27M (19.1% CAGR)</w:t>
      </w:r>
      <w:r>
        <w:rPr>
          <w:sz w:val="21"/>
          <w:szCs w:val="21"/>
        </w:rPr>
        <w:t xml:space="preserve"> versus SPY’s $777k (10.8%).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Every layer of regime machinery reduced return: L1 vol-target $2.61M, L2 +HMM brake $2.05M, L3 +momentum $2.00M. The regime brake (L2/L3) </w:t>
      </w:r>
      <w:r>
        <w:rPr>
          <w:b/>
          <w:bCs/>
          <w:sz w:val="21"/>
          <w:szCs w:val="21"/>
        </w:rPr>
        <w:t xml:space="preserve">underperformed plain volatility targeting (L1)</w:t>
      </w:r>
      <w:r>
        <w:rPr>
          <w:sz w:val="21"/>
          <w:szCs w:val="21"/>
        </w:rPr>
        <w:t xml:space="preserve"> in both 20-year windows.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Alpha is </w:t>
      </w:r>
      <w:r>
        <w:rPr>
          <w:b/>
          <w:bCs/>
          <w:sz w:val="21"/>
          <w:szCs w:val="21"/>
        </w:rPr>
        <w:t xml:space="preserve">defensive and crisis-concentrated</w:t>
      </w:r>
      <w:r>
        <w:rPr>
          <w:sz w:val="21"/>
          <w:szCs w:val="21"/>
        </w:rPr>
        <w:t xml:space="preserve"> — it accrues in down years (2008, 2020, 2022; 2000–2002 in the prior window) and bleeds in melt-up recoveries (2016, 2019, 2023).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Parameter tuning is </w:t>
      </w:r>
      <w:r>
        <w:rPr>
          <w:b/>
          <w:bCs/>
          <w:sz w:val="21"/>
          <w:szCs w:val="21"/>
        </w:rPr>
        <w:t xml:space="preserve">noise</w:t>
      </w:r>
      <w:r>
        <w:rPr>
          <w:sz w:val="21"/>
          <w:szCs w:val="21"/>
        </w:rPr>
        <w:t xml:space="preserve">: the best grid-searched L1 beat the default L1 by only ~$0.1M over 20 years.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Taxes reorder the field. After 32% short-term / 20% long-term tax, the high-turnover regime arms (L2/L3) fall to ~11.3–11.5% CAGR — a </w:t>
      </w:r>
      <w:r>
        <w:rPr>
          <w:b/>
          <w:bCs/>
          <w:sz w:val="21"/>
          <w:szCs w:val="21"/>
        </w:rPr>
        <w:t xml:space="preserve">4.9%/yr tax drag</w:t>
      </w:r>
      <w:r>
        <w:rPr>
          <w:sz w:val="21"/>
          <w:szCs w:val="21"/>
        </w:rPr>
        <w:t xml:space="preserve">, nearly double L0’s 2.8% — and on a taxes-as-you-go basis barely clear SPY buy-and-hold’s 10.8%.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Caveat carried throughout: </w:t>
      </w:r>
      <w:r>
        <w:rPr>
          <w:i/>
          <w:iCs/>
          <w:sz w:val="21"/>
          <w:szCs w:val="21"/>
        </w:rPr>
        <w:t xml:space="preserve">the basket is today’s sector-leading large-caps applied back in time, so a meaningful share of the excess return over SPY reflects survivorship/selection bias, not a repeatable live edge.</w:t>
      </w:r>
    </w:p>
    <w:p>
      <w:r>
        <w:br w:type="page"/>
      </w:r>
    </w:p>
    <w:p>
      <w:pPr>
        <w:pStyle w:val="Heading1"/>
      </w:pPr>
      <w:r>
        <w:t xml:space="preserve">1. Strategy and architecture</w:t>
      </w:r>
    </w:p>
    <w:p>
      <w:pPr>
        <w:spacing w:after="120" w:before="0" w:line="276"/>
      </w:pPr>
      <w:r>
        <w:rPr>
          <w:sz w:val="21"/>
          <w:szCs w:val="21"/>
        </w:rPr>
        <w:t xml:space="preserve">The system has two distinct strategy layers that are easy to conflate:</w:t>
      </w:r>
    </w:p>
    <w:p>
      <w:pPr>
        <w:pStyle w:val="Heading2"/>
      </w:pPr>
      <w:r>
        <w:t xml:space="preserve">1.1 The per-ticker signal engine</w:t>
      </w:r>
    </w:p>
    <w:p>
      <w:pPr>
        <w:spacing w:after="120" w:before="0" w:line="276"/>
      </w:pPr>
      <w:r>
        <w:rPr>
          <w:sz w:val="21"/>
          <w:szCs w:val="21"/>
        </w:rPr>
        <w:t xml:space="preserve">A three-state Gaussian Hidden Markov Model (Bull / Neutral / Bear) is fit walk-forward per ticker over price, volatility, trend, volume, and macro features (VIX, 10-year yield), with scheduled refits so it never trains on the future. From the fitted model it projects a forward probability curve, gates a composite Buy/Hold/Sell off the day-5 and day-21 Bull/Bear probabilities (</w:t>
      </w:r>
      <w:r>
        <w:rPr>
          <w:i/>
          <w:iCs/>
          <w:sz w:val="21"/>
          <w:szCs w:val="21"/>
        </w:rPr>
        <w:t xml:space="preserve">signal_from_forward_curve</w:t>
      </w:r>
      <w:r>
        <w:rPr>
          <w:sz w:val="21"/>
          <w:szCs w:val="21"/>
        </w:rPr>
        <w:t xml:space="preserve">), overlays RSI/MACD/Bollinger, then routes the candidate through a heavy gate stack — signal-quality, hurdle-rate (net of execution cost and short-term tax), regime-duration, anti-churn, earnings blackout, and VIX freeze — before sizing. Sizing is now </w:t>
      </w:r>
      <w:r>
        <w:rPr>
          <w:b/>
          <w:bCs/>
          <w:sz w:val="21"/>
          <w:szCs w:val="21"/>
        </w:rPr>
        <w:t xml:space="preserve">risk-first</w:t>
      </w:r>
      <w:r>
        <w:rPr>
          <w:sz w:val="21"/>
          <w:szCs w:val="21"/>
        </w:rPr>
        <w:t xml:space="preserve">: a 2×ATR risk budget is the anchor, scaled 0.5–1.0× by the meta-labeler’s calibrated probability, with a half-Kelly advisory cap; Hold/Sell get zero new size. Exits run a full ladder (trailing stop, time stop, neutral-reduce). The earlier review’s major fixes have landed.</w:t>
      </w:r>
    </w:p>
    <w:p>
      <w:pPr>
        <w:pStyle w:val="Heading2"/>
      </w:pPr>
      <w:r>
        <w:t xml:space="preserve">1.2 The portfolio-construction layer (the campaign arms)</w:t>
      </w:r>
    </w:p>
    <w:p>
      <w:pPr>
        <w:spacing w:after="120" w:before="0" w:line="276"/>
      </w:pPr>
      <w:r>
        <w:rPr>
          <w:sz w:val="21"/>
          <w:szCs w:val="21"/>
        </w:rPr>
        <w:t xml:space="preserve">Campaigns 2 and 3 test portfolio strategies built on the signals. These are the arms referenced throughout this report: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Arm</w:t>
            </w:r>
          </w:p>
        </w:tc>
        <w:tc>
          <w:tcPr>
            <w:tcW w:type="dxa" w:w="45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of the HMM regime signal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L0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Equal-weight basket, always fully invested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pure control</w:t>
            </w:r>
          </w:p>
        </w:tc>
      </w:tr>
      <w:tr>
        <w:tc>
          <w:tcPr>
            <w:tcW w:type="dxa" w:w="12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L1</w:t>
            </w:r>
          </w:p>
        </w:tc>
        <w:tc>
          <w:tcPr>
            <w:tcW w:type="dxa" w:w="456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 portfolio-level volatility targeting (≈15% vol)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generic risk control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 HMM regime breadth brake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De-risks when Bull breadth falls / drawdown brake</w:t>
            </w:r>
          </w:p>
        </w:tc>
      </w:tr>
      <w:tr>
        <w:tc>
          <w:tcPr>
            <w:tcW w:type="dxa" w:w="12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>
            <w:tcW w:type="dxa" w:w="456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+ 12-1 cross-sectional momentum tilt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Brake + momentum selection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C1 / C2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SPY buy-and-hold / SPY 200-day MA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Benchmarks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The HMM regime engine only enters as a de-risking brake (L2/L3); L0 and L1 contain no regime timing.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Agent differentiation is shallow: </w:t>
      </w:r>
      <w:r>
        <w:rPr>
          <w:sz w:val="21"/>
          <w:szCs w:val="21"/>
        </w:rPr>
        <w:t xml:space="preserve">the four competing agents (Quant, Fundamental, Portfolio/Tax, Execution) differ in mandate and gates but share one signal engine, one watchlist, and a tech/semiconductor-heavy universe — so the leaderboard largely ranks risk appetite and luck, not independent skill.</w:t>
      </w:r>
    </w:p>
    <w:p>
      <w:r>
        <w:br w:type="page"/>
      </w:r>
    </w:p>
    <w:p>
      <w:pPr>
        <w:pStyle w:val="Heading1"/>
      </w:pPr>
      <w:r>
        <w:t xml:space="preserve">2. The three backtest campaigns</w:t>
      </w:r>
    </w:p>
    <w:p>
      <w:pPr>
        <w:pStyle w:val="Heading2"/>
      </w:pPr>
      <w:r>
        <w:t xml:space="preserve">2.1 Campaign 1 — per-name signal trading</w:t>
      </w:r>
    </w:p>
    <w:p>
      <w:pPr>
        <w:spacing w:after="120" w:before="0" w:line="276"/>
      </w:pPr>
      <w:r>
        <w:rPr>
          <w:sz w:val="21"/>
          <w:szCs w:val="21"/>
        </w:rPr>
        <w:t xml:space="preserve">Trading the granular composite signal name-by-name over a 30-stock basket (OOS from 2024-01-01) was decisively beaten by buy-and-hold: </w:t>
      </w:r>
      <w:r>
        <w:rPr>
          <w:b/>
          <w:bCs/>
          <w:sz w:val="21"/>
          <w:szCs w:val="21"/>
        </w:rPr>
        <w:t xml:space="preserve">1.82% return vs 60.39% for SPY, beating the benchmark on 0 of 30 names</w:t>
      </w:r>
      <w:r>
        <w:rPr>
          <w:sz w:val="21"/>
          <w:szCs w:val="21"/>
        </w:rPr>
        <w:t xml:space="preserve">. The only redeeming property was drawdown containment (−8% max). Conclusion: the signal has no raw edge; it is a defensive filter that surrenders too much upside.</w:t>
      </w:r>
    </w:p>
    <w:p>
      <w:pPr>
        <w:pStyle w:val="Heading2"/>
      </w:pPr>
      <w:r>
        <w:t xml:space="preserve">2.2 Campaign 2 — portfolio layers, short OOS window</w:t>
      </w:r>
    </w:p>
    <w:p>
      <w:pPr>
        <w:spacing w:after="120" w:before="0" w:line="276"/>
      </w:pPr>
      <w:r>
        <w:rPr>
          <w:sz w:val="21"/>
          <w:szCs w:val="21"/>
        </w:rPr>
        <w:t xml:space="preserve">Reframed as portfolio overlays, the arms looked strong (L1 Sharpe 1.53 vs SPY 0.89). But the decisive number was </w:t>
      </w:r>
      <w:r>
        <w:rPr>
          <w:b/>
          <w:bCs/>
          <w:sz w:val="21"/>
          <w:szCs w:val="21"/>
        </w:rPr>
        <w:t xml:space="preserve">L0 — the untimed control — winning raw return at 87.8%</w:t>
      </w:r>
      <w:r>
        <w:rPr>
          <w:sz w:val="21"/>
          <w:szCs w:val="21"/>
        </w:rPr>
        <w:t xml:space="preserve">, and every timing layer reducing it. The apparent win was basket beta, not regime skill.</w:t>
      </w:r>
    </w:p>
    <w:p>
      <w:pPr>
        <w:pStyle w:val="Heading2"/>
      </w:pPr>
      <w:r>
        <w:t xml:space="preserve">2.3 Campaign 3 — full-cycle validation (the strongest evidence)</w:t>
      </w:r>
    </w:p>
    <w:p>
      <w:pPr>
        <w:spacing w:after="120" w:before="0" w:line="276"/>
      </w:pPr>
      <w:r>
        <w:rPr>
          <w:sz w:val="21"/>
          <w:szCs w:val="21"/>
        </w:rPr>
        <w:t xml:space="preserve">Campaign 3 runs the arms over two non-overlapping 20-year windows covering every major regime (dot-com, GFC, 2018, COVID, 2022). The rankings are identical across both windows — exactly the cross-validation most retail systems never perform.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1040"/>
        <w:gridCol w:w="1040"/>
        <w:gridCol w:w="1040"/>
        <w:gridCol w:w="1040"/>
        <w:gridCol w:w="1120"/>
        <w:gridCol w:w="880"/>
        <w:gridCol w:w="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Arm</w:t>
            </w:r>
          </w:p>
        </w:tc>
        <w:tc>
          <w:tcPr>
            <w:tcW w:type="dxa" w:w="10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  <w:tc>
          <w:tcPr>
            <w:tcW w:type="dxa" w:w="10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</w:t>
            </w:r>
          </w:p>
        </w:tc>
        <w:tc>
          <w:tcPr>
            <w:tcW w:type="dxa" w:w="10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0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112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DD</w:t>
            </w:r>
          </w:p>
        </w:tc>
        <w:tc>
          <w:tcPr>
            <w:tcW w:type="dxa" w:w="88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Turn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HMM brake</w:t>
            </w:r>
          </w:p>
        </w:tc>
      </w:tr>
      <w:tr>
        <w:tc>
          <w:tcPr>
            <w:tcW w:type="dxa" w:w="24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L0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19.1%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19.5%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0.99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0.40</w:t>
            </w:r>
          </w:p>
        </w:tc>
        <w:tc>
          <w:tcPr>
            <w:tcW w:type="dxa" w:w="112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−47.2%</w:t>
            </w:r>
          </w:p>
        </w:tc>
        <w:tc>
          <w:tcPr>
            <w:tcW w:type="dxa" w:w="88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0.9×</w:t>
            </w:r>
          </w:p>
        </w:tc>
        <w:tc>
          <w:tcPr>
            <w:tcW w:type="dxa" w:w="8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L1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17.5%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14.9%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1.16</w:t>
            </w:r>
          </w:p>
        </w:tc>
        <w:tc>
          <w:tcPr>
            <w:tcW w:type="dxa" w:w="104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0.54</w:t>
            </w:r>
          </w:p>
        </w:tc>
        <w:tc>
          <w:tcPr>
            <w:tcW w:type="dxa" w:w="112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−32.7%</w:t>
            </w:r>
          </w:p>
        </w:tc>
        <w:tc>
          <w:tcPr>
            <w:tcW w:type="dxa" w:w="88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1.6×</w:t>
            </w:r>
          </w:p>
        </w:tc>
        <w:tc>
          <w:tcPr>
            <w:tcW w:type="dxa" w:w="8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16.3%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14.2%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</w:t>
            </w:r>
          </w:p>
        </w:tc>
        <w:tc>
          <w:tcPr>
            <w:tcW w:type="dxa" w:w="1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−34.5%</w:t>
            </w:r>
          </w:p>
        </w:tc>
        <w:tc>
          <w:tcPr>
            <w:tcW w:type="dxa" w:w="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10.2×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16.2%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15.6%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12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−33.7%</w:t>
            </w:r>
          </w:p>
        </w:tc>
        <w:tc>
          <w:tcPr>
            <w:tcW w:type="dxa" w:w="88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25.1×</w:t>
            </w:r>
          </w:p>
        </w:tc>
        <w:tc>
          <w:tcPr>
            <w:tcW w:type="dxa" w:w="8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SPY buy &amp; hold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10.8%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19.4%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−55.2%</w:t>
            </w:r>
          </w:p>
        </w:tc>
        <w:tc>
          <w:tcPr>
            <w:tcW w:type="dxa" w:w="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0.1×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SPY 200-day MA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9.9%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12.4%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12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−23.6%</w:t>
            </w:r>
          </w:p>
        </w:tc>
        <w:tc>
          <w:tcPr>
            <w:tcW w:type="dxa" w:w="88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2.1×</w:t>
            </w:r>
          </w:p>
        </w:tc>
        <w:tc>
          <w:tcPr>
            <w:tcW w:type="dxa" w:w="8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Campaign 3, 2006–2025. The 1996–2015 window is near-identical (L0 18.2%, L1 16.1%, L2 15.2%, L3 14.9%, SPY 8.0%).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The key full-cycle finding: </w:t>
      </w:r>
      <w:r>
        <w:rPr>
          <w:sz w:val="21"/>
          <w:szCs w:val="21"/>
        </w:rPr>
        <w:t xml:space="preserve">L1 (plain volatility targeting, no HMM) is the best risk-adjusted arm. Adding the HMM regime brake (L2) lowers Sharpe and return while multiplying turnover 6×; adding momentum (L3) degrades it further at 25× turnover. Across 40 combined years, the regime engine destroys value relative to a generic volatility target.</w:t>
      </w:r>
    </w:p>
    <w:p>
      <w:r>
        <w:br w:type="page"/>
      </w:r>
    </w:p>
    <w:p>
      <w:pPr>
        <w:pStyle w:val="Heading1"/>
      </w:pPr>
      <w:r>
        <w:t xml:space="preserve">3. Alpha versus SPY, by year</w:t>
      </w:r>
    </w:p>
    <w:p>
      <w:pPr>
        <w:spacing w:after="120" w:before="0" w:line="276"/>
      </w:pPr>
      <w:r>
        <w:rPr>
          <w:sz w:val="21"/>
          <w:szCs w:val="21"/>
        </w:rPr>
        <w:t xml:space="preserve">Alpha here is excess return over the SPY controls. Total annualized excess return over SPY buy-and-hold (2006–2025): </w:t>
      </w:r>
      <w:r>
        <w:rPr>
          <w:b/>
          <w:bCs/>
          <w:sz w:val="21"/>
          <w:szCs w:val="21"/>
        </w:rPr>
        <w:t xml:space="preserve">L0 +8.3%, L1 +6.7%, L2 +5.5%, L3 +5.4%</w:t>
      </w:r>
      <w:r>
        <w:rPr>
          <w:sz w:val="21"/>
          <w:szCs w:val="21"/>
        </w:rPr>
        <w:t xml:space="preserve"> — shrinking monotonically as machinery is added. On a beta-adjusted basis the arms converge near +7–8%, because the overlays convert return into lower beta rather than into more skill.</w:t>
      </w:r>
    </w:p>
    <w:p>
      <w:pPr>
        <w:spacing w:after="60" w:before="80"/>
        <w:jc w:val="center"/>
      </w:pPr>
      <w:r>
        <w:drawing>
          <wp:inline distT="0" distB="0" distL="0" distR="0">
            <wp:extent cx="6096000" cy="2305050"/>
            <wp:effectExtent t="0" r="0" b="0" l="0"/>
            <wp:docPr id="1" name="fig6_alpha_heatmap.png" descr="Yearly excess return vs SPY heatmap" title="Yearly excess return vs SP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Green = beat SPY that year; red = lagged. Alpha concentrates in SPY down years (2008, 2020, 2022); L2/L3 bleed in melt-up recoveries (2016, 2019, 2023).</w:t>
      </w:r>
    </w:p>
    <w:p>
      <w:pPr>
        <w:spacing w:after="120" w:before="0" w:line="276"/>
      </w:pPr>
      <w:r>
        <w:rPr>
          <w:sz w:val="21"/>
          <w:szCs w:val="21"/>
        </w:rPr>
        <w:t xml:space="preserve">Consistency favors the simplest arms: over 20 years L0 and L1 beat SPY in </w:t>
      </w:r>
      <w:r>
        <w:rPr>
          <w:b/>
          <w:bCs/>
          <w:sz w:val="21"/>
          <w:szCs w:val="21"/>
        </w:rPr>
        <w:t xml:space="preserve">17 of 20 years</w:t>
      </w:r>
      <w:r>
        <w:rPr>
          <w:sz w:val="21"/>
          <w:szCs w:val="21"/>
        </w:rPr>
        <w:t xml:space="preserve">, L2 in 16, and L3 in only 12. The best grid-tuned L1 candidate (L1_tv15_min40_band40) added just +0.2pp of annualized alpha over the default L1 — inside the noise — which is why no production default was changed.</w:t>
      </w:r>
    </w:p>
    <w:p>
      <w:r>
        <w:br w:type="page"/>
      </w:r>
    </w:p>
    <w:p>
      <w:pPr>
        <w:pStyle w:val="Heading1"/>
      </w:pPr>
      <w:r>
        <w:t xml:space="preserve">4. Drawdown, recovery, and the Ulcer Index</w:t>
      </w:r>
    </w:p>
    <w:p>
      <w:pPr>
        <w:spacing w:after="120" w:before="0" w:line="276"/>
      </w:pPr>
      <w:r>
        <w:rPr>
          <w:sz w:val="21"/>
          <w:szCs w:val="21"/>
        </w:rPr>
        <w:t xml:space="preserve">Comparing the two arms an investor would actually choose between — L0 (max terminal wealth) and the tuned L1 (smoother path):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fig1_growth.png" descr="Growth of $100k" title="Growth of $100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Growth of $100,000, pre-tax, log scale. L0 ends richest; L1 tuned trades ~$0.66M of terminal wealth for a much smoother ride.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fig4_drawdowns.png" descr="Yearly dollar drawdowns" title="Yearly dollar drawdow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Worst intra-year peak-to-trough loss in dollars. As the balance compounds, ordinary dips become six-figure losses; L1 cushions every crisis (2020, 2022, 2025) by 30–45%.</w:t>
      </w:r>
    </w:p>
    <w:p>
      <w:pPr>
        <w:pStyle w:val="Heading2"/>
      </w:pPr>
      <w:r>
        <w:t xml:space="preserve">4.1 Recovery time — the counterintuitive part</w:t>
      </w:r>
    </w:p>
    <w:p>
      <w:pPr>
        <w:spacing w:after="120" w:before="0" w:line="276"/>
      </w:pPr>
      <w:r>
        <w:rPr>
          <w:sz w:val="21"/>
          <w:szCs w:val="21"/>
        </w:rPr>
        <w:t xml:space="preserve">Volatility targeting makes the holes shallower but </w:t>
      </w:r>
      <w:r>
        <w:rPr>
          <w:b/>
          <w:bCs/>
          <w:sz w:val="21"/>
          <w:szCs w:val="21"/>
        </w:rPr>
        <w:t xml:space="preserve">not shorter</w:t>
      </w:r>
      <w:r>
        <w:rPr>
          <w:sz w:val="21"/>
          <w:szCs w:val="21"/>
        </w:rPr>
        <w:t xml:space="preserve">. In the GFC, L0 was underwater 744 days (−47% deep) and L1 tuned 749 days (−33% deep) — L1 was actually underwater slightly longer despite falling less, because cutting exposure also slows the climb back. The vol-target buys a less-deep drawdown, not a faster recovery.</w:t>
      </w:r>
    </w:p>
    <w:p>
      <w:pPr>
        <w:pStyle w:val="Heading2"/>
      </w:pPr>
      <w:r>
        <w:t xml:space="preserve">4.2 Ulcer Index — depth and duration in one number</w:t>
      </w:r>
    </w:p>
    <w:p>
      <w:pPr>
        <w:spacing w:after="120" w:before="0" w:line="276"/>
      </w:pPr>
      <w:r>
        <w:rPr>
          <w:sz w:val="21"/>
          <w:szCs w:val="21"/>
        </w:rPr>
        <w:t xml:space="preserve">The Ulcer Index (RMS of percentage drawdown across all days) combines how deep and how long the pain lasts. Lower is better.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fig5_ulcer.png" descr="Ulcer Index by arm" title="Ulcer Index by 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SPY buy-and-hold is by far the most painful path (12.8); the vol-targeted L1 is the smoothest (7.1). The 1996–2015 window agrees (SPY 17.9, L1 7.9).</w:t>
      </w:r>
    </w:p>
    <w:p>
      <w:r>
        <w:br w:type="page"/>
      </w:r>
    </w:p>
    <w:p>
      <w:pPr>
        <w:pStyle w:val="Heading1"/>
      </w:pPr>
      <w:r>
        <w:t xml:space="preserve">5. After-tax profit and loss</w:t>
      </w:r>
    </w:p>
    <w:p>
      <w:pPr>
        <w:spacing w:after="120" w:before="0" w:line="276"/>
      </w:pPr>
      <w:r>
        <w:rPr>
          <w:sz w:val="21"/>
          <w:szCs w:val="21"/>
        </w:rPr>
        <w:t xml:space="preserve">Applying a </w:t>
      </w:r>
      <w:r>
        <w:rPr>
          <w:b/>
          <w:bCs/>
          <w:sz w:val="21"/>
          <w:szCs w:val="21"/>
        </w:rPr>
        <w:t xml:space="preserve">32% short-term / 20% long-term</w:t>
      </w:r>
      <w:r>
        <w:rPr>
          <w:sz w:val="21"/>
          <w:szCs w:val="21"/>
        </w:rPr>
        <w:t xml:space="preserve"> capital-gains rate with FIFO lot matching, real holding-period classification, wash-sale loss deferral, and annual loss carryforward. Taxes are paid on gains realized during the holding period; terminal unrealized gains are deferred (as they would be in reality).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Turnover dictates everything. </w:t>
      </w:r>
      <w:r>
        <w:rPr>
          <w:sz w:val="21"/>
          <w:szCs w:val="21"/>
        </w:rPr>
        <w:t xml:space="preserve">L0 and L1 hold positions long enough that 80–90% of gains qualify as long-term (20%). L2 and L3 churn so hard that ~100% of gains are short-term (32%) and they trigger enormous wash sales.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1140"/>
        <w:gridCol w:w="1080"/>
        <w:gridCol w:w="1020"/>
        <w:gridCol w:w="1040"/>
        <w:gridCol w:w="1140"/>
        <w:gridCol w:w="1140"/>
        <w:gridCol w:w="10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Arm</w:t>
            </w:r>
          </w:p>
        </w:tc>
        <w:tc>
          <w:tcPr>
            <w:tcW w:type="dxa" w:w="11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Pre-tax $</w:t>
            </w:r>
          </w:p>
        </w:tc>
        <w:tc>
          <w:tcPr>
            <w:tcW w:type="dxa" w:w="108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 CAGR</w:t>
            </w:r>
          </w:p>
        </w:tc>
        <w:tc>
          <w:tcPr>
            <w:tcW w:type="dxa" w:w="102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 share</w:t>
            </w:r>
          </w:p>
        </w:tc>
        <w:tc>
          <w:tcPr>
            <w:tcW w:type="dxa" w:w="10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 paid</w:t>
            </w:r>
          </w:p>
        </w:tc>
        <w:tc>
          <w:tcPr>
            <w:tcW w:type="dxa" w:w="11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After-tax $</w:t>
            </w:r>
          </w:p>
        </w:tc>
        <w:tc>
          <w:tcPr>
            <w:tcW w:type="dxa" w:w="114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After-tax CAGR</w:t>
            </w:r>
          </w:p>
        </w:tc>
        <w:tc>
          <w:tcPr>
            <w:tcW w:type="dxa" w:w="10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 drag/yr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L0</w:t>
            </w:r>
          </w:p>
        </w:tc>
        <w:tc>
          <w:tcPr>
            <w:tcW w:type="dxa" w:w="1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$3.27M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19.1%</w:t>
            </w:r>
          </w:p>
        </w:tc>
        <w:tc>
          <w:tcPr>
            <w:tcW w:type="dxa" w:w="1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$0.49M</w:t>
            </w:r>
          </w:p>
        </w:tc>
        <w:tc>
          <w:tcPr>
            <w:tcW w:type="dxa" w:w="1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$2.04M</w:t>
            </w:r>
          </w:p>
        </w:tc>
        <w:tc>
          <w:tcPr>
            <w:tcW w:type="dxa" w:w="1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16.3%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2.8%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L1 tuned</w:t>
            </w:r>
          </w:p>
        </w:tc>
        <w:tc>
          <w:tcPr>
            <w:tcW w:type="dxa" w:w="11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$2.61M</w:t>
            </w:r>
          </w:p>
        </w:tc>
        <w:tc>
          <w:tcPr>
            <w:tcW w:type="dxa" w:w="108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17.7%</w:t>
            </w:r>
          </w:p>
        </w:tc>
        <w:tc>
          <w:tcPr>
            <w:tcW w:type="dxa" w:w="102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$0.44M</w:t>
            </w:r>
          </w:p>
        </w:tc>
        <w:tc>
          <w:tcPr>
            <w:tcW w:type="dxa" w:w="11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$1.54M</w:t>
            </w:r>
          </w:p>
        </w:tc>
        <w:tc>
          <w:tcPr>
            <w:tcW w:type="dxa" w:w="11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14.6%</w:t>
            </w:r>
          </w:p>
        </w:tc>
        <w:tc>
          <w:tcPr>
            <w:tcW w:type="dxa" w:w="106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3.1%</w:t>
            </w:r>
          </w:p>
        </w:tc>
      </w:tr>
      <w:tr>
        <w:tc>
          <w:tcPr>
            <w:tcW w:type="dxa" w:w="220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>
            <w:tcW w:type="dxa" w:w="11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$2.05M</w:t>
            </w:r>
          </w:p>
        </w:tc>
        <w:tc>
          <w:tcPr>
            <w:tcW w:type="dxa" w:w="108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16.3%</w:t>
            </w:r>
          </w:p>
        </w:tc>
        <w:tc>
          <w:tcPr>
            <w:tcW w:type="dxa" w:w="102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0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$0.61M</w:t>
            </w:r>
          </w:p>
        </w:tc>
        <w:tc>
          <w:tcPr>
            <w:tcW w:type="dxa" w:w="11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$0.88M</w:t>
            </w:r>
          </w:p>
        </w:tc>
        <w:tc>
          <w:tcPr>
            <w:tcW w:type="dxa" w:w="11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11.5%</w:t>
            </w:r>
          </w:p>
        </w:tc>
        <w:tc>
          <w:tcPr>
            <w:tcW w:type="dxa" w:w="106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220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>
            <w:tcW w:type="dxa" w:w="11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$2.00M</w:t>
            </w:r>
          </w:p>
        </w:tc>
        <w:tc>
          <w:tcPr>
            <w:tcW w:type="dxa" w:w="108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16.2%</w:t>
            </w:r>
          </w:p>
        </w:tc>
        <w:tc>
          <w:tcPr>
            <w:tcW w:type="dxa" w:w="102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0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$0.61M</w:t>
            </w:r>
          </w:p>
        </w:tc>
        <w:tc>
          <w:tcPr>
            <w:tcW w:type="dxa" w:w="11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$0.85M</w:t>
            </w:r>
          </w:p>
        </w:tc>
        <w:tc>
          <w:tcPr>
            <w:tcW w:type="dxa" w:w="114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11.3%</w:t>
            </w:r>
          </w:p>
        </w:tc>
        <w:tc>
          <w:tcPr>
            <w:tcW w:type="dxa" w:w="106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SPY buy &amp; hold</w:t>
            </w:r>
          </w:p>
        </w:tc>
        <w:tc>
          <w:tcPr>
            <w:tcW w:type="dxa" w:w="1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$0.78M</w:t>
            </w:r>
          </w:p>
        </w:tc>
        <w:tc>
          <w:tcPr>
            <w:tcW w:type="dxa" w:w="1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10.8%</w:t>
            </w:r>
          </w:p>
        </w:tc>
        <w:tc>
          <w:tcPr>
            <w:tcW w:type="dxa" w:w="1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~$0</w:t>
            </w:r>
          </w:p>
        </w:tc>
        <w:tc>
          <w:tcPr>
            <w:tcW w:type="dxa" w:w="1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$0.78M</w:t>
            </w:r>
          </w:p>
        </w:tc>
        <w:tc>
          <w:tcPr>
            <w:tcW w:type="dxa" w:w="11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10.8%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SPY 200-day MA</w:t>
            </w:r>
          </w:p>
        </w:tc>
        <w:tc>
          <w:tcPr>
            <w:tcW w:type="dxa" w:w="11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$0.66M</w:t>
            </w:r>
          </w:p>
        </w:tc>
        <w:tc>
          <w:tcPr>
            <w:tcW w:type="dxa" w:w="108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9.9%</w:t>
            </w:r>
          </w:p>
        </w:tc>
        <w:tc>
          <w:tcPr>
            <w:tcW w:type="dxa" w:w="102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85%</w:t>
            </w:r>
          </w:p>
        </w:tc>
        <w:tc>
          <w:tcPr>
            <w:tcW w:type="dxa" w:w="10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$0.10M</w:t>
            </w:r>
          </w:p>
        </w:tc>
        <w:tc>
          <w:tcPr>
            <w:tcW w:type="dxa" w:w="11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$0.48M</w:t>
            </w:r>
          </w:p>
        </w:tc>
        <w:tc>
          <w:tcPr>
            <w:tcW w:type="dxa" w:w="114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8.2%</w:t>
            </w:r>
          </w:p>
        </w:tc>
        <w:tc>
          <w:tcPr>
            <w:tcW w:type="dxa" w:w="1060"/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1.7%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Campaign 3, 2006–2025, $100,000 start. The 1996–2015 window is consistent (L0 15.2%, L1 13.3%, L2 10.8%, L3 10.4%, SPY 8.0% after-tax CAGR).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fig2_aftertax_cagr.png" descr="Pre-tax vs after-tax CAGR" title="Pre-tax vs after-tax CAG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After tax, the high-turnover regime arms (L2/L3, ~11.3–11.5%) barely clear SPY buy-and-hold (10.8%) — their entire pre-tax edge over the index is consumed by short-term taxes.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fig3_aftertax_wealth.png" descr="After-tax wealth vs tax paid" title="After-tax wealth vs tax p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L2/L3 surrender ~57% of their pre-tax profit to taxes and drag, versus ~37% for L0.</w:t>
      </w:r>
    </w:p>
    <w:p>
      <w:pPr>
        <w:pStyle w:val="Heading2"/>
      </w:pPr>
      <w:r>
        <w:t xml:space="preserve">5.1 Wash sales</w:t>
      </w:r>
    </w:p>
    <w:p>
      <w:pPr>
        <w:spacing w:after="120" w:before="0" w:line="276"/>
      </w:pPr>
      <w:r>
        <w:rPr>
          <w:sz w:val="21"/>
          <w:szCs w:val="21"/>
        </w:rPr>
        <w:t xml:space="preserve">Wash-sale impact tracks turnover. For L0/L1 the disallowed-loss effect is minor (≈$50–77k between the loss-recoverable and strict-disallowance cases). For L2/L3 it is severe: </w:t>
      </w:r>
      <w:r>
        <w:rPr>
          <w:b/>
          <w:bCs/>
          <w:sz w:val="21"/>
          <w:szCs w:val="21"/>
        </w:rPr>
        <w:t xml:space="preserve">$1.6M (L2) and $2.6M (L3) of losses are wash-sale disallowed</w:t>
      </w:r>
      <w:r>
        <w:rPr>
          <w:sz w:val="21"/>
          <w:szCs w:val="21"/>
        </w:rPr>
        <w:t xml:space="preserve">. If those deferred losses cannot be recovered before period end, the tax bills roughly double (L2 $0.61M→$1.13M; L3 $0.61M→$1.44M). High churn turns the wash-sale rule into a structural tax penalty.</w:t>
      </w:r>
    </w:p>
    <w:p>
      <w:pPr>
        <w:pStyle w:val="Heading2"/>
      </w:pPr>
      <w:r>
        <w:t xml:space="preserve">5.2 Fairness note — full liquidation</w:t>
      </w:r>
    </w:p>
    <w:p>
      <w:pPr>
        <w:spacing w:after="120" w:before="0" w:line="276"/>
      </w:pPr>
      <w:r>
        <w:rPr>
          <w:sz w:val="21"/>
          <w:szCs w:val="21"/>
        </w:rPr>
        <w:t xml:space="preserve">The table above defers terminal unrealized gains. If every arm were fully liquidated at the end (paying 20% LT on remaining unrealized gains), after-tax wealth becomes: L0 $1.87M, L1 $1.43M, L2 $0.87M, L3 $0.85M, SPY $0.64M. SPY’s apparent zero-tax advantage shrinks because its large deferred gain is finally taxed — but the within-family ordering (L0 &gt; L1 &gt; L2 &gt; L3) and the turnover-driven drag are robust either way.</w:t>
      </w:r>
    </w:p>
    <w:p>
      <w:r>
        <w:br w:type="page"/>
      </w:r>
    </w:p>
    <w:p>
      <w:pPr>
        <w:pStyle w:val="Heading1"/>
      </w:pPr>
      <w:r>
        <w:t xml:space="preserve">6. Bottom line and recommendations</w:t>
      </w:r>
    </w:p>
    <w:p>
      <w:pPr>
        <w:spacing w:after="120" w:before="0" w:line="276"/>
      </w:pPr>
      <w:r>
        <w:rPr>
          <w:sz w:val="21"/>
          <w:szCs w:val="21"/>
        </w:rPr>
        <w:t xml:space="preserve">Regime has completed the unglamorous half of building an alpha platform — it can run, measure, audit, and falsify ideas without fooling itself. But across three campaigns, two 20-year windows, and a full after-tax analysis, </w:t>
      </w:r>
      <w:r>
        <w:rPr>
          <w:b/>
          <w:bCs/>
          <w:sz w:val="21"/>
          <w:szCs w:val="21"/>
        </w:rPr>
        <w:t xml:space="preserve">no component of the regime engine has demonstrated a repeatable edge</w:t>
      </w:r>
      <w:r>
        <w:rPr>
          <w:sz w:val="21"/>
          <w:szCs w:val="21"/>
        </w:rPr>
        <w:t xml:space="preserve">. The robust, repeatable result is narrow: a low-turnover, volatility-targeted, equal-weight basket (L1) earns ~+7% annualized excess over SPY, almost entirely in down markets, before survivorship-bias discounting — and it does so with the lowest pain (Ulcer 7.1) and the gentlest tax drag.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What the data argues against: </w:t>
      </w:r>
      <w:r>
        <w:rPr>
          <w:sz w:val="21"/>
          <w:szCs w:val="21"/>
        </w:rPr>
        <w:t xml:space="preserve">the HMM regime brake and the momentum tilt (L2/L3). They lower pre-tax risk-adjusted returns, and after tax their high turnover (≈100% short-term, heavy wash sales) cuts their after-tax CAGR to roughly the level of a do-nothing index.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Recommended next steps: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Always report the L0 control alongside the timing arms so basket beta is never mistaken for regime skill.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Rebuild the basket point-in-time (no hindsight constituents) to measure how much of the +8% excess survives survivorship-bias removal.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Put the direct question to the regime engine: what does the HMM brake earn that a 200-day moving average and a vol target don’t already deliver more cheaply and more tax-efficiently? On 40 years, the answer is so far negative.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If turnover is kept, treat tax as a first-class objective: the after-tax frontier favors low-turnover, long-term-holding arms decisively.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sz w:val="21"/>
          <w:szCs w:val="21"/>
        </w:rPr>
        <w:t xml:space="preserve">Give the four agents genuinely independent alpha sources and universes, or stop scoring them as a competition.</w:t>
      </w:r>
    </w:p>
    <w:p>
      <w:pPr>
        <w:pBdr>
          <w:top w:val="single" w:color="2E75B6" w:sz="6" w:space="6"/>
        </w:pBdr>
        <w:spacing w:before="240"/>
      </w:pPr>
      <w:r>
        <w:rPr>
          <w:b/>
          <w:bCs/>
          <w:color w:val="0C447C"/>
          <w:sz w:val="19"/>
          <w:szCs w:val="19"/>
        </w:rPr>
        <w:t xml:space="preserve">Methodology &amp; assumptions</w:t>
      </w:r>
    </w:p>
    <w:p>
      <w:pPr>
        <w:spacing w:after="120" w:before="0" w:line="276"/>
      </w:pPr>
      <w:r>
        <w:rPr>
          <w:i/>
          <w:iCs/>
          <w:sz w:val="18"/>
          <w:szCs w:val="18"/>
        </w:rPr>
        <w:t xml:space="preserve">Source: Campaign 3 result JSONs (data/campaign/portfolio_campaign3_2006_2025 and _1996_2015), daily equity curves and trade ledgers. Taxes: FIFO lot matching reconstructed from buy/sell records; long-term = held &gt; 365 days; rates 32% ST / 20% LT; wash sale disallows losses on repurchases within ±30 calendar days; annual netting with loss carryforward. After-tax CAGR applies each year’s tax as a drag on the prior-year balance. Backtests assume a fixed, hindsight-selected basket and frictional costs as modeled in the pipeline; they are simulations, not live results.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Regime Consolidated Review · </w:t>
    </w:r>
    <w:r>
      <w:rPr>
        <w:color w:val="888780"/>
        <w:sz w:val="16"/>
        <w:szCs w:val="16"/>
      </w:rPr>
      <w:t xml:space="preserve">Page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C447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ced22e9e9832c7e7c7f2d1d6ee10b1ac3743bb.png"/><Relationship Id="rId9" Type="http://schemas.openxmlformats.org/officeDocument/2006/relationships/image" Target="media/836971552c4ef280d578c4e8cda9ca00348a3cff.png"/><Relationship Id="rId10" Type="http://schemas.openxmlformats.org/officeDocument/2006/relationships/image" Target="media/13d560966eac62718d1bde6b921604d32bb4c64a.png"/><Relationship Id="rId11" Type="http://schemas.openxmlformats.org/officeDocument/2006/relationships/image" Target="media/105c4f680ff55c6dccbf76dcbda4c41997a555ae.png"/><Relationship Id="rId12" Type="http://schemas.openxmlformats.org/officeDocument/2006/relationships/image" Target="media/8a4ff89fe5646e11493fbaf2c3c4d19a2ea32242.png"/><Relationship Id="rId13" Type="http://schemas.openxmlformats.org/officeDocument/2006/relationships/image" Target="media/44721ae6ef4638a786914a885f16c08db1fff47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Regime Autonomous Trading Agent — Consolidated Review</dc:title>
  <dc:creator>Regime Review</dc:creator>
  <cp:lastModifiedBy>Un-named</cp:lastModifiedBy>
  <cp:revision>1</cp:revision>
  <dcterms:created xsi:type="dcterms:W3CDTF">2026-06-13T17:12:30.647Z</dcterms:created>
  <dcterms:modified xsi:type="dcterms:W3CDTF">2026-06-13T17:12:30.647Z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