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United States: energy security, economic opportunity and partnership priorities</w:t>
      </w:r>
    </w:p>
    <w:p>
      <w:r>
        <w:rPr>
          <w:color w:val="4B5563"/>
          <w:sz w:val="18"/>
        </w:rPr>
        <w:t>Policy memo · Country Insights · Allied Industrial Base Explorer · NEIS Center</w:t>
      </w:r>
    </w:p>
    <w:p>
      <w:pPr>
        <w:pBdr>
          <w:top w:val="single" w:sz="4" w:space="4" w:color="D1D5DB"/>
        </w:pBdr>
      </w:pPr>
      <w:r>
        <w:rPr>
          <w:i/>
          <w:color w:val="4B5563"/>
          <w:sz w:val="19"/>
        </w:rPr>
        <w:t>AI-generated from the data and checked against it; NEIS baseline as of 12 October 2026.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3F4F6"/>
            <w:tcBorders>
              <w:top w:val="nil"/>
              <w:left w:val="single" w:sz="24" w:space="0" w:color="F58229"/>
              <w:bottom w:val="nil"/>
              <w:right w:val="nil"/>
            </w:tcBorders>
            <w:tcMar>
              <w:top w:w="120" w:type="dxa"/>
              <w:left w:w="200" w:type="dxa"/>
              <w:bottom w:w="80" w:type="dxa"/>
              <w:right w:w="160" w:type="dxa"/>
            </w:tcMar>
          </w:tcPr>
          <w:p>
            <w:r>
              <w:rPr>
                <w:b/>
                <w:sz w:val="24"/>
              </w:rPr>
              <w:t>Summary</w:t>
            </w:r>
          </w:p>
          <w:p>
            <w:pPr>
              <w:pStyle w:val="ListBullet"/>
            </w:pPr>
            <w:r>
              <w:t xml:space="preserve">Placeholder memo for the dashboard fixture. </w:t>
            </w:r>
            <w:r>
              <w:t>9</w:t>
            </w:r>
            <w:r>
              <w:t xml:space="preserve"> of </w:t>
            </w:r>
            <w:r>
              <w:t>58</w:t>
            </w:r>
            <w:r>
              <w:t xml:space="preserve"> placed sectors sit in the two low-energy-security corners.</w:t>
            </w:r>
            <w:r>
              <w:rPr>
                <w:color w:val="4B5563"/>
                <w:vertAlign w:val="superscript"/>
              </w:rPr>
              <w:t>1</w:t>
            </w:r>
          </w:p>
          <w:p>
            <w:pPr>
              <w:pStyle w:val="ListBullet"/>
            </w:pPr>
            <w:r>
              <w:t xml:space="preserve">Its top Strategic Index sector among its own sectors is </w:t>
            </w:r>
            <w:r>
              <w:t>oil refining</w:t>
            </w:r>
            <w:r>
              <w:t>.</w:t>
            </w:r>
            <w:r>
              <w:rPr>
                <w:color w:val="4B5563"/>
                <w:vertAlign w:val="superscript"/>
              </w:rPr>
              <w:t>1</w:t>
            </w:r>
          </w:p>
          <w:p>
            <w:pPr>
              <w:pStyle w:val="ListBullet"/>
            </w:pPr>
            <w:r>
              <w:t>The memo phase replaces this text with an AI-generated memo checked against the fact sheet.</w:t>
            </w:r>
          </w:p>
          <w:p>
            <w:pPr>
              <w:pStyle w:val="ListBullet"/>
            </w:pPr>
            <w:r>
              <w:t xml:space="preserve">The Partnership Strength Index rates </w:t>
            </w:r>
            <w:r>
              <w:t>Hong Kong</w:t>
            </w:r>
            <w:r>
              <w:t xml:space="preserve"> highest.</w:t>
            </w:r>
            <w:r>
              <w:rPr>
                <w:color w:val="4B5563"/>
                <w:vertAlign w:val="superscript"/>
              </w:rPr>
              <w:t>1</w:t>
            </w:r>
          </w:p>
        </w:tc>
      </w:tr>
    </w:tbl>
    <w:p/>
    <w:p>
      <w:pPr>
        <w:pStyle w:val="Heading1"/>
      </w:pPr>
      <w:r>
        <w:t>1. Energy security risks and why</w:t>
      </w:r>
    </w:p>
    <w:p>
      <w:r>
        <w:t>Placeholder section: the memo phase writes this section from the fact sheet.</w:t>
      </w:r>
    </w:p>
    <w:p>
      <w:pPr>
        <w:pStyle w:val="Heading1"/>
      </w:pPr>
      <w:r>
        <w:t>2. Economic opportunities and why</w:t>
      </w:r>
    </w:p>
    <w:p>
      <w:r>
        <w:t>Placeholder section: the memo phase writes this section from the fact sheet.</w:t>
      </w:r>
    </w:p>
    <w:p>
      <w:pPr>
        <w:pStyle w:val="Heading1"/>
      </w:pPr>
      <w:r>
        <w:t>3. Sectoral priorities and the existing policy posture</w:t>
      </w:r>
    </w:p>
    <w:p>
      <w:r>
        <w:t>Placeholder section: the memo phase writes this section from the fact sheet.</w:t>
      </w:r>
    </w:p>
    <w:p>
      <w:pPr>
        <w:pStyle w:val="Heading1"/>
      </w:pPr>
      <w:r>
        <w:t>4. Partnership priorities and why</w:t>
      </w:r>
    </w:p>
    <w:p>
      <w:r>
        <w:t>Placeholder section: the memo phase writes this section from the fact sheet.</w:t>
      </w:r>
    </w:p>
    <w:p>
      <w:pPr>
        <w:pStyle w:val="Heading1"/>
      </w:pPr>
      <w:r>
        <w:t>5. Data notes and caveats</w:t>
      </w:r>
    </w:p>
    <w:p>
      <w:r>
        <w:t xml:space="preserve">All index values are the NEIS baseline as of </w:t>
      </w:r>
      <w:r>
        <w:t>12 October 2026</w:t>
      </w:r>
      <w:r>
        <w:t>.</w:t>
      </w:r>
      <w:r>
        <w:rPr>
          <w:color w:val="4B5563"/>
          <w:vertAlign w:val="superscript"/>
        </w:rPr>
        <w:t>1</w:t>
      </w:r>
    </w:p>
    <w:p>
      <w:pPr>
        <w:pStyle w:val="Heading2"/>
        <w:pBdr>
          <w:top w:val="single" w:sz="4" w:space="4" w:color="D1D5DB"/>
        </w:pBdr>
      </w:pPr>
      <w:r>
        <w:t>Sources</w:t>
      </w:r>
    </w:p>
    <w:p>
      <w:pPr>
        <w:pStyle w:val="ListNumber"/>
      </w:pPr>
      <w:r>
        <w:rPr>
          <w:sz w:val="17"/>
        </w:rPr>
        <w:t>Energy Security, Economic Opportunity, Strategic Index and Partnership Strength Index, NEIS baseline at six supply-chain stages.</w:t>
      </w:r>
    </w:p>
    <w:p>
      <w:pPr>
        <w:pBdr>
          <w:top w:val="single" w:sz="4" w:space="4" w:color="D1D5DB"/>
        </w:pBdr>
      </w:pPr>
      <w:r>
        <w:rPr>
          <w:i/>
          <w:color w:val="4B5563"/>
          <w:sz w:val="18"/>
        </w:rPr>
        <w:t>AI-generated from the data and checked against it; NEIS baseline as of 12 October 2026.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i/>
        <w:color w:val="4B5563"/>
        <w:sz w:val="16"/>
      </w:rPr>
      <w:t>AI-generated from the data and checked against it; NEIS baseline as of 12 October 2026.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11827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color w:val="11182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color w:val="111827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United States: energy security, economic opportunity and partnership priorities</dc:title>
  <dc:subject>Country Insights policy memo</dc:subject>
  <dc:creator>NEIS Center, Allied Industrial Base Explorer (AI-generated, checked against the data)</dc:creator>
  <cp:keywords>energy security; economic opportunity; Strategic Index; Partnership Strength Index; USA</cp:keywords>
  <dc:description>paper baseline as of 12 October 2026; fact sheet sha256 8c2c194373bcd992d9133296ef83c89b4a869ed4471158452ff59e1fde4338a2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