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Australia: energy security, economic opportunity and partnership priorities</w:t>
      </w:r>
    </w:p>
    <w:p>
      <w:r>
        <w:rPr>
          <w:color w:val="4B5563"/>
          <w:sz w:val="18"/>
        </w:rPr>
        <w:t>Policy memo · Country Insights · Allied Industrial Base Explorer · NEIS Center</w:t>
      </w:r>
    </w:p>
    <w:p>
      <w:pPr>
        <w:pBdr>
          <w:top w:val="single" w:sz="4" w:space="4" w:color="D1D5DB"/>
        </w:pBdr>
      </w:pPr>
      <w:r>
        <w:rPr>
          <w:i/>
          <w:color w:val="4B5563"/>
          <w:sz w:val="19"/>
        </w:rPr>
        <w:t>AI-generated from the data and checked against it; paper baseline as of 12 October 2026.</w:t>
      </w:r>
    </w:p>
    <w:tbl>
      <w:tblPr>
        <w:tblW w:type="auto" w:w="0"/>
        <w:tblLook w:firstColumn="1" w:firstRow="1" w:lastColumn="0" w:lastRow="0" w:noHBand="0" w:noVBand="1" w:val="04A0"/>
      </w:tblPr>
      <w:tblGrid>
        <w:gridCol w:w="10080"/>
      </w:tblGrid>
      <w:tr>
        <w:tc>
          <w:tcPr>
            <w:tcW w:type="dxa" w:w="10080"/>
            <w:shd w:val="clear" w:color="auto" w:fill="F3F4F6"/>
            <w:tcBorders>
              <w:top w:val="nil"/>
              <w:left w:val="single" w:sz="24" w:space="0" w:color="F58229"/>
              <w:bottom w:val="nil"/>
              <w:right w:val="nil"/>
            </w:tcBorders>
            <w:tcMar>
              <w:top w:w="120" w:type="dxa"/>
              <w:left w:w="200" w:type="dxa"/>
              <w:bottom w:w="80" w:type="dxa"/>
              <w:right w:w="160" w:type="dxa"/>
            </w:tcMar>
          </w:tcPr>
          <w:p>
            <w:r>
              <w:rPr>
                <w:b/>
                <w:sz w:val="24"/>
              </w:rPr>
              <w:t>Summary</w:t>
            </w:r>
          </w:p>
          <w:p>
            <w:pPr>
              <w:pStyle w:val="ListBullet"/>
            </w:pPr>
            <w:r>
              <w:t>Australia</w:t>
            </w:r>
            <w:r>
              <w:t xml:space="preserve"> is most exposed in </w:t>
            </w:r>
            <w:r>
              <w:t>midstream wind</w:t>
            </w:r>
            <w:r>
              <w:t xml:space="preserve">, </w:t>
            </w:r>
            <w:r>
              <w:t>midstream solar</w:t>
            </w:r>
            <w:r>
              <w:t xml:space="preserve"> and </w:t>
            </w:r>
            <w:r>
              <w:t>midstream electric grid</w:t>
            </w:r>
            <w:r>
              <w:t xml:space="preserve">, where its Energy Security is higher than only </w:t>
            </w:r>
            <w:r>
              <w:t>22%</w:t>
            </w:r>
            <w:r>
              <w:t xml:space="preserve">, </w:t>
            </w:r>
            <w:r>
              <w:t>26%</w:t>
            </w:r>
            <w:r>
              <w:t xml:space="preserve"> and </w:t>
            </w:r>
            <w:r>
              <w:t>40%</w:t>
            </w:r>
            <w:r>
              <w:t xml:space="preserve"> of the other economies scored. Trade deficits and small export shares pull each down.</w:t>
            </w:r>
            <w:r>
              <w:rPr>
                <w:color w:val="4B5563"/>
                <w:vertAlign w:val="superscript"/>
              </w:rPr>
              <w:t>1</w:t>
            </w:r>
          </w:p>
          <w:p>
            <w:pPr>
              <w:pStyle w:val="ListBullet"/>
            </w:pPr>
            <w:r>
              <w:t xml:space="preserve">Its strongest openings are in </w:t>
            </w:r>
            <w:r>
              <w:t>upstream electric vehicles</w:t>
            </w:r>
            <w:r>
              <w:t xml:space="preserve">, </w:t>
            </w:r>
            <w:r>
              <w:t>upstream batteries</w:t>
            </w:r>
            <w:r>
              <w:t xml:space="preserve"> and </w:t>
            </w:r>
            <w:r>
              <w:t>downstream batteries</w:t>
            </w:r>
            <w:r>
              <w:t xml:space="preserve">, where its Economic Opportunity is higher than </w:t>
            </w:r>
            <w:r>
              <w:t>98%</w:t>
            </w:r>
            <w:r>
              <w:t xml:space="preserve">, </w:t>
            </w:r>
            <w:r>
              <w:t>97%</w:t>
            </w:r>
            <w:r>
              <w:t xml:space="preserve"> and </w:t>
            </w:r>
            <w:r>
              <w:t>95%</w:t>
            </w:r>
            <w:r>
              <w:t xml:space="preserve"> of the other economies scored. Investment pushes each of them up.</w:t>
            </w:r>
            <w:r>
              <w:rPr>
                <w:color w:val="4B5563"/>
                <w:vertAlign w:val="superscript"/>
              </w:rPr>
              <w:t>1</w:t>
            </w:r>
          </w:p>
          <w:p>
            <w:pPr>
              <w:pStyle w:val="ListBullet"/>
            </w:pPr>
            <w:r>
              <w:t xml:space="preserve">On the paper's weighting, the Strategic Index puts </w:t>
            </w:r>
            <w:r>
              <w:t>downstream batteries</w:t>
            </w:r>
            <w:r>
              <w:t xml:space="preserve"> </w:t>
            </w:r>
            <w:r>
              <w:t>1st</w:t>
            </w:r>
            <w:r>
              <w:t xml:space="preserve"> among </w:t>
            </w:r>
            <w:r>
              <w:t>Australia</w:t>
            </w:r>
            <w:r>
              <w:t xml:space="preserve">'s own sectors, a narrow lead that rests on policy activity; without the policy term, </w:t>
            </w:r>
            <w:r>
              <w:t>midstream electric grid</w:t>
            </w:r>
            <w:r>
              <w:t xml:space="preserve"> ranks </w:t>
            </w:r>
            <w:r>
              <w:t>1st</w:t>
            </w:r>
            <w:r>
              <w:t>.</w:t>
            </w:r>
            <w:r>
              <w:rPr>
                <w:color w:val="4B5563"/>
                <w:vertAlign w:val="superscript"/>
              </w:rPr>
              <w:t>1</w:t>
            </w:r>
          </w:p>
          <w:p>
            <w:pPr>
              <w:pStyle w:val="ListBullet"/>
            </w:pPr>
            <w:r>
              <w:t xml:space="preserve">The Partnership Strength Index rates </w:t>
            </w:r>
            <w:r>
              <w:t>South Korea</w:t>
            </w:r>
            <w:r>
              <w:t xml:space="preserve"> highest for </w:t>
            </w:r>
            <w:r>
              <w:t>Australia</w:t>
            </w:r>
            <w:r>
              <w:t xml:space="preserve">, as an </w:t>
            </w:r>
            <w:r>
              <w:t>export market</w:t>
            </w:r>
            <w:r>
              <w:t xml:space="preserve">; it is also </w:t>
            </w:r>
            <w:r>
              <w:t>Australia</w:t>
            </w:r>
            <w:r>
              <w:t xml:space="preserve">'s </w:t>
            </w:r>
            <w:r>
              <w:t>4th</w:t>
            </w:r>
            <w:r>
              <w:t xml:space="preserve"> trade partner. </w:t>
            </w:r>
            <w:r>
              <w:t>China</w:t>
            </w:r>
            <w:r>
              <w:t xml:space="preserve"> ranks </w:t>
            </w:r>
            <w:r>
              <w:t>1st</w:t>
            </w:r>
            <w:r>
              <w:t xml:space="preserve"> among its trade partners but </w:t>
            </w:r>
            <w:r>
              <w:t>36th</w:t>
            </w:r>
            <w:r>
              <w:t xml:space="preserve"> on Partnership Strength.</w:t>
            </w:r>
            <w:r>
              <w:rPr>
                <w:color w:val="4B5563"/>
                <w:vertAlign w:val="superscript"/>
              </w:rPr>
              <w:t>1,2</w:t>
            </w:r>
          </w:p>
        </w:tc>
      </w:tr>
    </w:tbl>
    <w:p/>
    <w:p>
      <w:pPr>
        <w:pStyle w:val="Heading1"/>
      </w:pPr>
      <w:r>
        <w:t>1. Energy security risks and why</w:t>
      </w:r>
    </w:p>
    <w:p>
      <w:r>
        <w:t xml:space="preserve">Energy Security measures how well a country can rely on what it needs in a sector, compared with other economies. Of </w:t>
      </w:r>
      <w:r>
        <w:t>Australia</w:t>
      </w:r>
      <w:r>
        <w:t xml:space="preserve">'s </w:t>
      </w:r>
      <w:r>
        <w:t>28</w:t>
      </w:r>
      <w:r>
        <w:t xml:space="preserve"> placed sectors (those comparable on both scores), </w:t>
      </w:r>
      <w:r>
        <w:t>4</w:t>
      </w:r>
      <w:r>
        <w:t xml:space="preserve"> sit in the two low-energy-security corners: all </w:t>
      </w:r>
      <w:r>
        <w:t>4</w:t>
      </w:r>
      <w:r>
        <w:t xml:space="preserve"> in the Secure corner and none in the Upgrade corner. The Secure corner pairs low opportunity with low energy security. Compared with other economies in each sector, its Energy Security is lowest in </w:t>
      </w:r>
      <w:r>
        <w:t>midstream wind</w:t>
      </w:r>
      <w:r>
        <w:t xml:space="preserve"> (</w:t>
      </w:r>
      <w:r>
        <w:t>0.38</w:t>
      </w:r>
      <w:r>
        <w:t xml:space="preserve">), </w:t>
      </w:r>
      <w:r>
        <w:t>midstream solar</w:t>
      </w:r>
      <w:r>
        <w:t xml:space="preserve"> (</w:t>
      </w:r>
      <w:r>
        <w:t>0.33</w:t>
      </w:r>
      <w:r>
        <w:t xml:space="preserve">) and </w:t>
      </w:r>
      <w:r>
        <w:t>midstream electric grid</w:t>
      </w:r>
      <w:r>
        <w:t xml:space="preserve"> (</w:t>
      </w:r>
      <w:r>
        <w:t>0.47</w:t>
      </w:r>
      <w:r>
        <w:t xml:space="preserve">), all in the </w:t>
      </w:r>
      <w:r>
        <w:t>Secure</w:t>
      </w:r>
      <w:r>
        <w:t xml:space="preserve"> corner. It scores higher than only </w:t>
      </w:r>
      <w:r>
        <w:t>22%</w:t>
      </w:r>
      <w:r>
        <w:t xml:space="preserve">, </w:t>
      </w:r>
      <w:r>
        <w:t>26%</w:t>
      </w:r>
      <w:r>
        <w:t xml:space="preserve"> and </w:t>
      </w:r>
      <w:r>
        <w:t>40%</w:t>
      </w:r>
      <w:r>
        <w:t xml:space="preserve"> of the other </w:t>
      </w:r>
      <w:r>
        <w:t>64</w:t>
      </w:r>
      <w:r>
        <w:t xml:space="preserve">, </w:t>
      </w:r>
      <w:r>
        <w:t>77</w:t>
      </w:r>
      <w:r>
        <w:t xml:space="preserve"> and </w:t>
      </w:r>
      <w:r>
        <w:t>92</w:t>
      </w:r>
      <w:r>
        <w:t xml:space="preserve"> economies scored in these sectors.</w:t>
      </w:r>
      <w:r>
        <w:rPr>
          <w:color w:val="4B5563"/>
          <w:vertAlign w:val="superscript"/>
        </w:rPr>
        <w:t>1</w:t>
      </w:r>
    </w:p>
    <w:p>
      <w:r>
        <w:t xml:space="preserve">The trade category, which counts a country's trade deficit in these goods, its share of world exports and how concentrated world exports are, pulls each of these scores below the middle economy. With the Upgrade corner empty, its high-priority sectors are its leading Strategic Index sectors: </w:t>
      </w:r>
      <w:r>
        <w:t>downstream batteries, midstream batteries and midstream solar</w:t>
      </w:r>
      <w:r>
        <w:t xml:space="preserve">. In </w:t>
      </w:r>
      <w:r>
        <w:t>midstream solar</w:t>
      </w:r>
      <w:r>
        <w:t xml:space="preserve">, the deficit was </w:t>
      </w:r>
      <w:r>
        <w:t>0.4% of GDP</w:t>
      </w:r>
      <w:r>
        <w:t xml:space="preserve"> in </w:t>
      </w:r>
      <w:r>
        <w:t>2023</w:t>
      </w:r>
      <w:r>
        <w:t xml:space="preserve">; on that measure </w:t>
      </w:r>
      <w:r>
        <w:t>Australia</w:t>
      </w:r>
      <w:r>
        <w:t xml:space="preserve"> scores higher than only </w:t>
      </w:r>
      <w:r>
        <w:t>27%</w:t>
      </w:r>
      <w:r>
        <w:t xml:space="preserve"> of the other economies. For context, its largest suppliers of </w:t>
      </w:r>
      <w:r>
        <w:t>midstream solar</w:t>
      </w:r>
      <w:r>
        <w:t xml:space="preserve"> goods in </w:t>
      </w:r>
      <w:r>
        <w:t>2024</w:t>
      </w:r>
      <w:r>
        <w:t xml:space="preserve"> were </w:t>
      </w:r>
      <w:r>
        <w:t>China</w:t>
      </w:r>
      <w:r>
        <w:t xml:space="preserve"> (</w:t>
      </w:r>
      <w:r>
        <w:t>53.2%</w:t>
      </w:r>
      <w:r>
        <w:t xml:space="preserve"> of imports totalling </w:t>
      </w:r>
      <w:r>
        <w:t>USD 7.8 bn</w:t>
      </w:r>
      <w:r>
        <w:t xml:space="preserve">) and the </w:t>
      </w:r>
      <w:r>
        <w:t>United States</w:t>
      </w:r>
      <w:r>
        <w:t xml:space="preserve"> (</w:t>
      </w:r>
      <w:r>
        <w:t>6.5%</w:t>
      </w:r>
      <w:r>
        <w:t>).</w:t>
      </w:r>
      <w:r>
        <w:rPr>
          <w:color w:val="4B5563"/>
          <w:vertAlign w:val="superscript"/>
        </w:rPr>
        <w:t>1,2,3</w:t>
      </w:r>
    </w:p>
    <w:p>
      <w:r>
        <w:t xml:space="preserve">Among fuels, </w:t>
      </w:r>
      <w:r>
        <w:t>upstream oil</w:t>
      </w:r>
      <w:r>
        <w:t xml:space="preserve"> sits in the </w:t>
      </w:r>
      <w:r>
        <w:t>Watch</w:t>
      </w:r>
      <w:r>
        <w:t xml:space="preserve"> corner; its Energy Security there is higher than </w:t>
      </w:r>
      <w:r>
        <w:t>57%</w:t>
      </w:r>
      <w:r>
        <w:t xml:space="preserve"> of the other </w:t>
      </w:r>
      <w:r>
        <w:t>96</w:t>
      </w:r>
      <w:r>
        <w:t xml:space="preserve"> economies scored. Energy imports pull that score down: oil production minus consumption was </w:t>
      </w:r>
      <w:r>
        <w:t>-1.54 EJ</w:t>
      </w:r>
      <w:r>
        <w:t xml:space="preserve"> in </w:t>
      </w:r>
      <w:r>
        <w:t>2025</w:t>
      </w:r>
      <w:r>
        <w:t xml:space="preserve">. Proved reserves of </w:t>
      </w:r>
      <w:r>
        <w:t>2.39 bn bbl</w:t>
      </w:r>
      <w:r>
        <w:t xml:space="preserve"> (</w:t>
      </w:r>
      <w:r>
        <w:t>2020</w:t>
      </w:r>
      <w:r>
        <w:t>) push it up.</w:t>
      </w:r>
      <w:r>
        <w:rPr>
          <w:color w:val="4B5563"/>
          <w:vertAlign w:val="superscript"/>
        </w:rPr>
        <w:t>1,4</w:t>
      </w:r>
    </w:p>
    <w:p>
      <w:pPr>
        <w:pStyle w:val="Heading1"/>
      </w:pPr>
      <w:r>
        <w:t>2. Economic opportunities and why</w:t>
      </w:r>
    </w:p>
    <w:p>
      <w:r>
        <w:t xml:space="preserve">Economic Opportunity measures how well placed a country is to create value in a sector, from exports and related capabilities to investment, costs and demand. Of the </w:t>
      </w:r>
      <w:r>
        <w:t>28</w:t>
      </w:r>
      <w:r>
        <w:t xml:space="preserve"> placed sectors, </w:t>
      </w:r>
      <w:r>
        <w:t>9</w:t>
      </w:r>
      <w:r>
        <w:t xml:space="preserve"> sit in the two high-opportunity corners, all </w:t>
      </w:r>
      <w:r>
        <w:t>9</w:t>
      </w:r>
      <w:r>
        <w:t xml:space="preserve"> in the Grow corner, which pairs high opportunity with high energy security. Its Economic Opportunity ranks highest in </w:t>
      </w:r>
      <w:r>
        <w:t>upstream electric vehicles</w:t>
      </w:r>
      <w:r>
        <w:t xml:space="preserve">, </w:t>
      </w:r>
      <w:r>
        <w:t>upstream batteries</w:t>
      </w:r>
      <w:r>
        <w:t xml:space="preserve">, </w:t>
      </w:r>
      <w:r>
        <w:t>downstream batteries</w:t>
      </w:r>
      <w:r>
        <w:t xml:space="preserve"> and </w:t>
      </w:r>
      <w:r>
        <w:t>downstream solar</w:t>
      </w:r>
      <w:r>
        <w:t xml:space="preserve">, higher than </w:t>
      </w:r>
      <w:r>
        <w:t>98%</w:t>
      </w:r>
      <w:r>
        <w:t xml:space="preserve">, </w:t>
      </w:r>
      <w:r>
        <w:t>97%</w:t>
      </w:r>
      <w:r>
        <w:t xml:space="preserve">, </w:t>
      </w:r>
      <w:r>
        <w:t>95%</w:t>
      </w:r>
      <w:r>
        <w:t xml:space="preserve"> and </w:t>
      </w:r>
      <w:r>
        <w:t>94%</w:t>
      </w:r>
      <w:r>
        <w:t xml:space="preserve"> of the other economies scored.</w:t>
      </w:r>
      <w:r>
        <w:rPr>
          <w:color w:val="4B5563"/>
          <w:vertAlign w:val="superscript"/>
        </w:rPr>
        <w:t>1</w:t>
      </w:r>
    </w:p>
    <w:p>
      <w:r>
        <w:t xml:space="preserve">Investment pushes the upstream scores up: on capacity operating today, </w:t>
      </w:r>
      <w:r>
        <w:t>Australia</w:t>
      </w:r>
      <w:r>
        <w:t xml:space="preserve"> scores higher than </w:t>
      </w:r>
      <w:r>
        <w:t>95%</w:t>
      </w:r>
      <w:r>
        <w:t xml:space="preserve"> of the other economies in </w:t>
      </w:r>
      <w:r>
        <w:t>upstream electric vehicles</w:t>
      </w:r>
      <w:r>
        <w:t xml:space="preserve"> and </w:t>
      </w:r>
      <w:r>
        <w:t>93%</w:t>
      </w:r>
      <w:r>
        <w:t xml:space="preserve"> in </w:t>
      </w:r>
      <w:r>
        <w:t>upstream batteries</w:t>
      </w:r>
      <w:r>
        <w:t xml:space="preserve">. Production also pushes both up: on growth in production it scores higher than </w:t>
      </w:r>
      <w:r>
        <w:t>98%</w:t>
      </w:r>
      <w:r>
        <w:t xml:space="preserve"> and </w:t>
      </w:r>
      <w:r>
        <w:t>95%</w:t>
      </w:r>
      <w:r>
        <w:t xml:space="preserve"> of the other economies. In </w:t>
      </w:r>
      <w:r>
        <w:t>downstream batteries</w:t>
      </w:r>
      <w:r>
        <w:t xml:space="preserve">, investment and consumption push the score up: it scores higher than </w:t>
      </w:r>
      <w:r>
        <w:t>96%</w:t>
      </w:r>
      <w:r>
        <w:t xml:space="preserve"> of the other economies on annual investment and </w:t>
      </w:r>
      <w:r>
        <w:t>99%</w:t>
      </w:r>
      <w:r>
        <w:t xml:space="preserve"> on use per person today. In </w:t>
      </w:r>
      <w:r>
        <w:t>downstream solar</w:t>
      </w:r>
      <w:r>
        <w:t xml:space="preserve">, production and energy access push it up: generation was </w:t>
      </w:r>
      <w:r>
        <w:t>58.4 TWh</w:t>
      </w:r>
      <w:r>
        <w:t xml:space="preserve"> and use came to </w:t>
      </w:r>
      <w:r>
        <w:t>7.79 GJ per person</w:t>
      </w:r>
      <w:r>
        <w:t xml:space="preserve">, both in </w:t>
      </w:r>
      <w:r>
        <w:t>2025</w:t>
      </w:r>
      <w:r>
        <w:t>.</w:t>
      </w:r>
      <w:r>
        <w:rPr>
          <w:color w:val="4B5563"/>
          <w:vertAlign w:val="superscript"/>
        </w:rPr>
        <w:t>1,4</w:t>
      </w:r>
    </w:p>
    <w:p>
      <w:r>
        <w:t xml:space="preserve">For context, </w:t>
      </w:r>
      <w:r>
        <w:t>China</w:t>
      </w:r>
      <w:r>
        <w:t xml:space="preserve"> took </w:t>
      </w:r>
      <w:r>
        <w:t>88.1%</w:t>
      </w:r>
      <w:r>
        <w:t xml:space="preserve"> of its exports in </w:t>
      </w:r>
      <w:r>
        <w:t>upstream electric vehicles</w:t>
      </w:r>
      <w:r>
        <w:t xml:space="preserve"> (</w:t>
      </w:r>
      <w:r>
        <w:t>USD 4.31 bn</w:t>
      </w:r>
      <w:r>
        <w:t xml:space="preserve"> in </w:t>
      </w:r>
      <w:r>
        <w:t>2024</w:t>
      </w:r>
      <w:r>
        <w:t xml:space="preserve">) and </w:t>
      </w:r>
      <w:r>
        <w:t>90.6%</w:t>
      </w:r>
      <w:r>
        <w:t xml:space="preserve"> of those in </w:t>
      </w:r>
      <w:r>
        <w:t>upstream batteries</w:t>
      </w:r>
      <w:r>
        <w:t xml:space="preserve"> (</w:t>
      </w:r>
      <w:r>
        <w:t>USD 4.19 bn</w:t>
      </w:r>
      <w:r>
        <w:t>). The paper's framework associates the Grow corner with export promotion.</w:t>
      </w:r>
      <w:r>
        <w:rPr>
          <w:color w:val="4B5563"/>
          <w:vertAlign w:val="superscript"/>
        </w:rPr>
        <w:t>2</w:t>
      </w:r>
    </w:p>
    <w:p>
      <w:pPr>
        <w:pStyle w:val="Heading1"/>
      </w:pPr>
      <w:r>
        <w:t>3. Sectoral priorities and the existing policy posture</w:t>
      </w:r>
    </w:p>
    <w:p>
      <w:r>
        <w:t xml:space="preserve">The Strategic Index ranks </w:t>
      </w:r>
      <w:r>
        <w:t>Australia</w:t>
      </w:r>
      <w:r>
        <w:t xml:space="preserve">'s own sectors by combining opportunity, security need, policy activity, the supply-chain stage and the technology's low-emission value. On the paper's weighting, it puts </w:t>
      </w:r>
      <w:r>
        <w:t>downstream batteries</w:t>
      </w:r>
      <w:r>
        <w:t xml:space="preserve"> </w:t>
      </w:r>
      <w:r>
        <w:t>1st</w:t>
      </w:r>
      <w:r>
        <w:t xml:space="preserve">, </w:t>
      </w:r>
      <w:r>
        <w:t>midstream batteries</w:t>
      </w:r>
      <w:r>
        <w:t xml:space="preserve"> </w:t>
      </w:r>
      <w:r>
        <w:t>2nd</w:t>
      </w:r>
      <w:r>
        <w:t xml:space="preserve">, </w:t>
      </w:r>
      <w:r>
        <w:t>midstream solar</w:t>
      </w:r>
      <w:r>
        <w:t xml:space="preserve"> </w:t>
      </w:r>
      <w:r>
        <w:t>3rd</w:t>
      </w:r>
      <w:r>
        <w:t xml:space="preserve">, </w:t>
      </w:r>
      <w:r>
        <w:t>upstream batteries</w:t>
      </w:r>
      <w:r>
        <w:t xml:space="preserve"> </w:t>
      </w:r>
      <w:r>
        <w:t>4th</w:t>
      </w:r>
      <w:r>
        <w:t xml:space="preserve"> and </w:t>
      </w:r>
      <w:r>
        <w:t>midstream electric grid</w:t>
      </w:r>
      <w:r>
        <w:t xml:space="preserve"> </w:t>
      </w:r>
      <w:r>
        <w:t>5th</w:t>
      </w:r>
      <w:r>
        <w:t xml:space="preserve"> among its own sectors. At </w:t>
      </w:r>
      <w:r>
        <w:t>0.62</w:t>
      </w:r>
      <w:r>
        <w:t xml:space="preserve">, </w:t>
      </w:r>
      <w:r>
        <w:t>downstream batteries</w:t>
      </w:r>
      <w:r>
        <w:t xml:space="preserve"> leads </w:t>
      </w:r>
      <w:r>
        <w:t>midstream batteries</w:t>
      </w:r>
      <w:r>
        <w:t xml:space="preserve"> by </w:t>
      </w:r>
      <w:r>
        <w:t>0.005</w:t>
      </w:r>
      <w:r>
        <w:t xml:space="preserve">, and </w:t>
      </w:r>
      <w:r>
        <w:t>midstream batteries</w:t>
      </w:r>
      <w:r>
        <w:t xml:space="preserve"> leads </w:t>
      </w:r>
      <w:r>
        <w:t>midstream solar</w:t>
      </w:r>
      <w:r>
        <w:t xml:space="preserve"> by </w:t>
      </w:r>
      <w:r>
        <w:t>0.006</w:t>
      </w:r>
      <w:r>
        <w:t xml:space="preserve">: both pairs are almost tied. Policy activity accounts for the lead of </w:t>
      </w:r>
      <w:r>
        <w:t>downstream batteries</w:t>
      </w:r>
      <w:r>
        <w:t xml:space="preserve">, adding </w:t>
      </w:r>
      <w:r>
        <w:t>0.200</w:t>
      </w:r>
      <w:r>
        <w:t xml:space="preserve"> to its score. On data-based priority, the Strategic Index without its policy term, it ranks only </w:t>
      </w:r>
      <w:r>
        <w:t>12th</w:t>
      </w:r>
      <w:r>
        <w:t xml:space="preserve"> among </w:t>
      </w:r>
      <w:r>
        <w:t>Australia</w:t>
      </w:r>
      <w:r>
        <w:t xml:space="preserve">'s own sectors; </w:t>
      </w:r>
      <w:r>
        <w:t>midstream electric grid</w:t>
      </w:r>
      <w:r>
        <w:t>, in the "</w:t>
      </w:r>
      <w:r>
        <w:t>middle</w:t>
      </w:r>
      <w:r>
        <w:t xml:space="preserve">" policy group, ranks </w:t>
      </w:r>
      <w:r>
        <w:t>1st</w:t>
      </w:r>
      <w:r>
        <w:t xml:space="preserve">. In </w:t>
      </w:r>
      <w:r>
        <w:t>midstream solar</w:t>
      </w:r>
      <w:r>
        <w:t xml:space="preserve">, a </w:t>
      </w:r>
      <w:r>
        <w:t>Secure</w:t>
      </w:r>
      <w:r>
        <w:t xml:space="preserve">-corner sector, security need adds </w:t>
      </w:r>
      <w:r>
        <w:t>0.200</w:t>
      </w:r>
      <w:r>
        <w:t xml:space="preserve">. Its allied pick, the top upstream or midstream sector after a resource screen, is </w:t>
      </w:r>
      <w:r>
        <w:t>midstream batteries</w:t>
      </w:r>
      <w:r>
        <w:t>.</w:t>
      </w:r>
      <w:r>
        <w:rPr>
          <w:color w:val="4B5563"/>
          <w:vertAlign w:val="superscript"/>
        </w:rPr>
        <w:t>1</w:t>
      </w:r>
    </w:p>
    <w:p>
      <w:r>
        <w:t xml:space="preserve">Policy activity counts International Energy Agency Policies and Measures records and reads the Climate Action Tracker rating against each technology. Splitting its sectors into thirds on each measure, top priority meets the most policy in </w:t>
      </w:r>
      <w:r>
        <w:t>midstream solar, midstream batteries, midstream wind, upstream batteries and upstream solar</w:t>
      </w:r>
      <w:r>
        <w:t xml:space="preserve">. No top-priority sector has the least policy and no bottom-priority sector the most; bottom priority meets the least policy in </w:t>
      </w:r>
      <w:r>
        <w:t>6</w:t>
      </w:r>
      <w:r>
        <w:t xml:space="preserve"> sectors, every oil and coal sector among them. </w:t>
      </w:r>
      <w:r>
        <w:t>Australia</w:t>
      </w:r>
      <w:r>
        <w:t xml:space="preserve"> carries the Climate Action Tracker rating </w:t>
      </w:r>
      <w:r>
        <w:t>Insufficient</w:t>
      </w:r>
      <w:r>
        <w:t xml:space="preserve"> (</w:t>
      </w:r>
      <w:r>
        <w:t>June 2025</w:t>
      </w:r>
      <w:r>
        <w:t xml:space="preserve">) and has </w:t>
      </w:r>
      <w:r>
        <w:t>584</w:t>
      </w:r>
      <w:r>
        <w:t xml:space="preserve"> Policies and Measures records, </w:t>
      </w:r>
      <w:r>
        <w:t>392</w:t>
      </w:r>
      <w:r>
        <w:t xml:space="preserve"> of which name a technology. For context, Global Trade Alert lists </w:t>
      </w:r>
      <w:r>
        <w:t>507</w:t>
      </w:r>
      <w:r>
        <w:t xml:space="preserve"> active industrial-policy measures for </w:t>
      </w:r>
      <w:r>
        <w:t>Australia</w:t>
      </w:r>
      <w:r>
        <w:t xml:space="preserve">, most often tied to </w:t>
      </w:r>
      <w:r>
        <w:t>midstream solar</w:t>
      </w:r>
      <w:r>
        <w:t xml:space="preserve"> (</w:t>
      </w:r>
      <w:r>
        <w:t>122</w:t>
      </w:r>
      <w:r>
        <w:t xml:space="preserve">) and </w:t>
      </w:r>
      <w:r>
        <w:t>midstream wind</w:t>
      </w:r>
      <w:r>
        <w:t xml:space="preserve"> (</w:t>
      </w:r>
      <w:r>
        <w:t>99</w:t>
      </w:r>
      <w:r>
        <w:t>).</w:t>
      </w:r>
      <w:r>
        <w:rPr>
          <w:color w:val="4B5563"/>
          <w:vertAlign w:val="superscript"/>
        </w:rPr>
        <w:t>1,5,6,7</w:t>
      </w:r>
    </w:p>
    <w:p>
      <w:pPr>
        <w:pStyle w:val="Heading1"/>
      </w:pPr>
      <w:r>
        <w:t>4. Partnership priorities and why</w:t>
      </w:r>
    </w:p>
    <w:p>
      <w:r>
        <w:t xml:space="preserve">The Partnership Strength Index rates partners from </w:t>
      </w:r>
      <w:r>
        <w:t>Australia</w:t>
      </w:r>
      <w:r>
        <w:t xml:space="preserve">'s viewpoint as reliable suppliers (Friendshore), as export markets (Partnership Opportunity) and, for middle- and lower-income partners, by Development Potential. It ranks </w:t>
      </w:r>
      <w:r>
        <w:t>South Korea</w:t>
      </w:r>
      <w:r>
        <w:t xml:space="preserve"> </w:t>
      </w:r>
      <w:r>
        <w:t>1st</w:t>
      </w:r>
      <w:r>
        <w:t xml:space="preserve">, </w:t>
      </w:r>
      <w:r>
        <w:t>Germany</w:t>
      </w:r>
      <w:r>
        <w:t xml:space="preserve"> </w:t>
      </w:r>
      <w:r>
        <w:t>2nd</w:t>
      </w:r>
      <w:r>
        <w:t xml:space="preserve">, </w:t>
      </w:r>
      <w:r>
        <w:t>France</w:t>
      </w:r>
      <w:r>
        <w:t xml:space="preserve"> </w:t>
      </w:r>
      <w:r>
        <w:t>3rd</w:t>
      </w:r>
      <w:r>
        <w:t xml:space="preserve">, </w:t>
      </w:r>
      <w:r>
        <w:t>Finland</w:t>
      </w:r>
      <w:r>
        <w:t xml:space="preserve"> </w:t>
      </w:r>
      <w:r>
        <w:t>4th</w:t>
      </w:r>
      <w:r>
        <w:t xml:space="preserve"> and </w:t>
      </w:r>
      <w:r>
        <w:t>Japan</w:t>
      </w:r>
      <w:r>
        <w:t xml:space="preserve"> </w:t>
      </w:r>
      <w:r>
        <w:t>5th</w:t>
      </w:r>
      <w:r>
        <w:t xml:space="preserve"> of </w:t>
      </w:r>
      <w:r>
        <w:t>191</w:t>
      </w:r>
      <w:r>
        <w:t xml:space="preserve"> partners. </w:t>
      </w:r>
      <w:r>
        <w:t>South Korea</w:t>
      </w:r>
      <w:r>
        <w:t xml:space="preserve"> stands out as an </w:t>
      </w:r>
      <w:r>
        <w:t>export market</w:t>
      </w:r>
      <w:r>
        <w:t xml:space="preserve">, with best sectors including </w:t>
      </w:r>
      <w:r>
        <w:t>upstream batteries, upstream electric vehicles, upstream gas, upstream wind and midstream nuclear</w:t>
      </w:r>
      <w:r>
        <w:t xml:space="preserve">. </w:t>
      </w:r>
      <w:r>
        <w:t>Germany</w:t>
      </w:r>
      <w:r>
        <w:t xml:space="preserve">, </w:t>
      </w:r>
      <w:r>
        <w:t>France</w:t>
      </w:r>
      <w:r>
        <w:t xml:space="preserve"> and </w:t>
      </w:r>
      <w:r>
        <w:t>Finland</w:t>
      </w:r>
      <w:r>
        <w:t xml:space="preserve"> each stand out as a </w:t>
      </w:r>
      <w:r>
        <w:t>reliable supplier</w:t>
      </w:r>
      <w:r>
        <w:t xml:space="preserve">; for </w:t>
      </w:r>
      <w:r>
        <w:t>Germany</w:t>
      </w:r>
      <w:r>
        <w:t xml:space="preserve"> the best sectors include </w:t>
      </w:r>
      <w:r>
        <w:t>midstream green hydrogen, midstream electric vehicles, midstream solar, midstream wind and midstream gas</w:t>
      </w:r>
      <w:r>
        <w:t>.</w:t>
      </w:r>
      <w:r>
        <w:rPr>
          <w:color w:val="4B5563"/>
          <w:vertAlign w:val="superscript"/>
        </w:rPr>
        <w:t>1</w:t>
      </w:r>
    </w:p>
    <w:p>
      <w:r>
        <w:t xml:space="preserve">Today's ties only partly follow these priorities. </w:t>
      </w:r>
      <w:r>
        <w:t>South Korea</w:t>
      </w:r>
      <w:r>
        <w:t xml:space="preserve"> is also </w:t>
      </w:r>
      <w:r>
        <w:t>Australia</w:t>
      </w:r>
      <w:r>
        <w:t xml:space="preserve">'s </w:t>
      </w:r>
      <w:r>
        <w:t>4th</w:t>
      </w:r>
      <w:r>
        <w:t xml:space="preserve"> trade partner on average across its energy-goods baskets, </w:t>
      </w:r>
      <w:r>
        <w:t>Japan</w:t>
      </w:r>
      <w:r>
        <w:t xml:space="preserve"> its </w:t>
      </w:r>
      <w:r>
        <w:t>6th</w:t>
      </w:r>
      <w:r>
        <w:t xml:space="preserve"> and </w:t>
      </w:r>
      <w:r>
        <w:t>Germany</w:t>
      </w:r>
      <w:r>
        <w:t xml:space="preserve"> its </w:t>
      </w:r>
      <w:r>
        <w:t>7th</w:t>
      </w:r>
      <w:r>
        <w:t xml:space="preserve">. </w:t>
      </w:r>
      <w:r>
        <w:t>France</w:t>
      </w:r>
      <w:r>
        <w:t xml:space="preserve">, by contrast, is </w:t>
      </w:r>
      <w:r>
        <w:t>a priority partner with few ties today</w:t>
      </w:r>
      <w:r>
        <w:t xml:space="preserve">: it ranks </w:t>
      </w:r>
      <w:r>
        <w:t>27th</w:t>
      </w:r>
      <w:r>
        <w:t xml:space="preserve"> by trade. The </w:t>
      </w:r>
      <w:r>
        <w:t>United States</w:t>
      </w:r>
      <w:r>
        <w:t xml:space="preserve">, ranked </w:t>
      </w:r>
      <w:r>
        <w:t>6th</w:t>
      </w:r>
      <w:r>
        <w:t xml:space="preserve">, is its </w:t>
      </w:r>
      <w:r>
        <w:t>2nd</w:t>
      </w:r>
      <w:r>
        <w:t xml:space="preserve"> trade partner and shares </w:t>
      </w:r>
      <w:r>
        <w:t>the Indo-Pacific Economic Framework, the Minerals Security Partnership and a U.S. free-trade agreement</w:t>
      </w:r>
      <w:r>
        <w:t xml:space="preserve"> with it. </w:t>
      </w:r>
      <w:r>
        <w:t>Australia</w:t>
      </w:r>
      <w:r>
        <w:t xml:space="preserve">'s firms have </w:t>
      </w:r>
      <w:r>
        <w:t>4</w:t>
      </w:r>
      <w:r>
        <w:t xml:space="preserve"> cross-border factory projects there. </w:t>
      </w:r>
      <w:r>
        <w:t>China</w:t>
      </w:r>
      <w:r>
        <w:t xml:space="preserve"> ranks </w:t>
      </w:r>
      <w:r>
        <w:t>1st</w:t>
      </w:r>
      <w:r>
        <w:t xml:space="preserve"> among its trade partners but </w:t>
      </w:r>
      <w:r>
        <w:t>36th</w:t>
      </w:r>
      <w:r>
        <w:t xml:space="preserve"> on Partnership Strength, and the countries vote in </w:t>
      </w:r>
      <w:r>
        <w:t>opposite blocs</w:t>
      </w:r>
      <w:r>
        <w:t xml:space="preserve"> at the UN.</w:t>
      </w:r>
      <w:r>
        <w:rPr>
          <w:color w:val="4B5563"/>
          <w:vertAlign w:val="superscript"/>
        </w:rPr>
        <w:t>1,2,8,9,10</w:t>
      </w:r>
    </w:p>
    <w:p>
      <w:r>
        <w:t xml:space="preserve">As a partner to the coalition, </w:t>
      </w:r>
      <w:r>
        <w:t>Australia</w:t>
      </w:r>
      <w:r>
        <w:t xml:space="preserve"> ranks </w:t>
      </w:r>
      <w:r>
        <w:t>22nd</w:t>
      </w:r>
      <w:r>
        <w:t xml:space="preserve"> of </w:t>
      </w:r>
      <w:r>
        <w:t>192</w:t>
      </w:r>
      <w:r>
        <w:t xml:space="preserve"> economies on Partnership Strength averaged over the core members' viewpoints. In the allied network design, which spreads upstream and midstream production across coalition members, its largest designed shares are </w:t>
      </w:r>
      <w:r>
        <w:t>22.0%</w:t>
      </w:r>
      <w:r>
        <w:t xml:space="preserve"> of </w:t>
      </w:r>
      <w:r>
        <w:t>upstream batteries</w:t>
      </w:r>
      <w:r>
        <w:t xml:space="preserve">, </w:t>
      </w:r>
      <w:r>
        <w:t>21.5%</w:t>
      </w:r>
      <w:r>
        <w:t xml:space="preserve"> of </w:t>
      </w:r>
      <w:r>
        <w:t>upstream electric vehicles</w:t>
      </w:r>
      <w:r>
        <w:t xml:space="preserve"> and </w:t>
      </w:r>
      <w:r>
        <w:t>19.5%</w:t>
      </w:r>
      <w:r>
        <w:t xml:space="preserve"> of </w:t>
      </w:r>
      <w:r>
        <w:t>upstream wind</w:t>
      </w:r>
      <w:r>
        <w:t>.</w:t>
      </w:r>
      <w:r>
        <w:rPr>
          <w:color w:val="4B5563"/>
          <w:vertAlign w:val="superscript"/>
        </w:rPr>
        <w:t>1,11</w:t>
      </w:r>
    </w:p>
    <w:p>
      <w:pPr>
        <w:pStyle w:val="Heading1"/>
      </w:pPr>
      <w:r>
        <w:t>5. Data notes and caveats</w:t>
      </w:r>
    </w:p>
    <w:p>
      <w:r>
        <w:t xml:space="preserve">The Country Insights page shows these data as of </w:t>
      </w:r>
      <w:r>
        <w:t>12 October 2026</w:t>
      </w:r>
      <w:r>
        <w:t>.</w:t>
      </w:r>
    </w:p>
    <w:p>
      <w:pPr>
        <w:pStyle w:val="ListBullet"/>
      </w:pPr>
      <w:r>
        <w:t>Scores compare Australia with other economies in the same sector; they are not measures of risk or profit in absolute terms.</w:t>
      </w:r>
    </w:p>
    <w:p>
      <w:pPr>
        <w:pStyle w:val="ListBullet"/>
      </w:pPr>
      <w:r>
        <w:t>All index values are the paper's baseline as of 12 October 2026; Strategic Insights recomputes them under other weightings.</w:t>
      </w:r>
    </w:p>
    <w:p>
      <w:pPr>
        <w:pStyle w:val="ListBullet"/>
      </w:pPr>
      <w:r>
        <w:t>Strategic Index scores within 0.01 of each other are almost tied: small changes in the data or the weights can swap their order.</w:t>
      </w:r>
    </w:p>
    <w:p>
      <w:pPr>
        <w:pStyle w:val="ListBullet"/>
      </w:pPr>
      <w:r>
        <w:t>Factory projects are cross-border solar, wind, battery and electric-vehicle manufacturing projects only, announced projects included, which may never be built; domestic investment is not covered (Cleantech Manufacturing FDI Dataset, edition 2026.10.05, CC BY 4.0; counts by the authors, a joint venture counted under its listed parent).</w:t>
      </w:r>
    </w:p>
    <w:p>
      <w:pPr>
        <w:pStyle w:val="ListBullet"/>
      </w:pPr>
      <w:r>
        <w:t>Industrial-policy measures from the Global Trade Alert, New Industrial Policy Observatory, October 2026 extract (as of 5 October 2026) are context only, outside the Policy index.</w:t>
      </w:r>
    </w:p>
    <w:p>
      <w:pPr>
        <w:pStyle w:val="Heading2"/>
        <w:pBdr>
          <w:top w:val="single" w:sz="4" w:space="4" w:color="D1D5DB"/>
        </w:pBdr>
      </w:pPr>
      <w:r>
        <w:t>Sources</w:t>
      </w:r>
    </w:p>
    <w:p>
      <w:pPr>
        <w:pStyle w:val="ListNumber"/>
      </w:pPr>
      <w:r>
        <w:rPr>
          <w:sz w:val="17"/>
        </w:rPr>
        <w:t>Energy Security, Economic Opportunity, Strategic Index and Partnership Strength Index, paper baseline (Opportunity Security Indices pipeline); CC BY 4.0 (the paper's indices).</w:t>
      </w:r>
    </w:p>
    <w:p>
      <w:pPr>
        <w:pStyle w:val="ListNumber"/>
      </w:pPr>
      <w:r>
        <w:rPr>
          <w:sz w:val="17"/>
        </w:rPr>
        <w:t>United Nations, UN Comtrade Database, HS6 bilateral trade (all reporters), 2020 and 2024; reconciled by the authors (pulled 2026-10-07 to 2026-10-09); attribution; https://comtradeplus.un.org/.</w:t>
      </w:r>
    </w:p>
    <w:p>
      <w:pPr>
        <w:pStyle w:val="ListNumber"/>
      </w:pPr>
      <w:r>
        <w:rPr>
          <w:sz w:val="17"/>
        </w:rPr>
        <w:t>Growth Lab at Harvard University, The Atlas of Economic Complexity, HS92 6-digit country-product-year data (data to 2023); attribution; https://atlas.hks.harvard.edu/.</w:t>
      </w:r>
    </w:p>
    <w:p>
      <w:pPr>
        <w:pStyle w:val="ListNumber"/>
      </w:pPr>
      <w:r>
        <w:rPr>
          <w:sz w:val="17"/>
        </w:rPr>
        <w:t>Energy Institute, Statistical Review of World Energy 2026 (data to 2025); attribution; https://www.energyinst.org/statistical-review.</w:t>
      </w:r>
    </w:p>
    <w:p>
      <w:pPr>
        <w:pStyle w:val="ListNumber"/>
      </w:pPr>
      <w:r>
        <w:rPr>
          <w:sz w:val="17"/>
        </w:rPr>
        <w:t>Climate Action Tracker, country ratings (ratings updated 2022-2025); attribution; https://climateactiontracker.org/.</w:t>
      </w:r>
    </w:p>
    <w:p>
      <w:pPr>
        <w:pStyle w:val="ListNumber"/>
      </w:pPr>
      <w:r>
        <w:rPr>
          <w:sz w:val="17"/>
        </w:rPr>
        <w:t>International Energy Agency, Policies and Measures Database (export of 2026-09-30); attribution; https://www.iea.org/policies.</w:t>
      </w:r>
    </w:p>
    <w:p>
      <w:pPr>
        <w:pStyle w:val="ListNumber"/>
      </w:pPr>
      <w:r>
        <w:rPr>
          <w:sz w:val="17"/>
        </w:rPr>
        <w:t>Global Trade Alert, New Industrial Policy Observatory: industrial-policy interventions, strength scored by the authors, October 2026 extract (as of 5 October 2026); subscription (titles, dates and links only); https://www.globaltradealert.org/.</w:t>
      </w:r>
    </w:p>
    <w:p>
      <w:pPr>
        <w:pStyle w:val="ListNumber"/>
      </w:pPr>
      <w:r>
        <w:rPr>
          <w:sz w:val="17"/>
        </w:rPr>
        <w:t>Economic-security agreements: G7, NATO, Indo-Pacific Economic Framework, Minerals Security Partnership (and Forum), U.S. free-trade agreements (compiled by the authors from official membership lists).</w:t>
      </w:r>
    </w:p>
    <w:p>
      <w:pPr>
        <w:pStyle w:val="ListNumber"/>
      </w:pPr>
      <w:r>
        <w:rPr>
          <w:sz w:val="17"/>
        </w:rPr>
        <w:t>Bandara, P. and the Net Zero Industrial Policy Lab. Cleantech Manufacturing FDI Dataset, edition 2026.10.05. Johns Hopkins University. https://cmfdi.netzeropolicylab.com (2026.10.05); attribution; https://cmfdi.netzeropolicylab.com/.</w:t>
      </w:r>
    </w:p>
    <w:p>
      <w:pPr>
        <w:pStyle w:val="ListNumber"/>
      </w:pPr>
      <w:r>
        <w:rPr>
          <w:sz w:val="17"/>
        </w:rPr>
        <w:t>Bailey, M., Strezhnev, A. and Voeten, E., United Nations General Assembly Voting Data, ideal points (Harvard Dataverse V39.0) (sessions to 2023); attribution; https://dataverse.harvard.edu/dataset.xhtml?persistentId=hdl:1902.1/12379.</w:t>
      </w:r>
    </w:p>
    <w:p>
      <w:pPr>
        <w:pStyle w:val="ListNumber"/>
      </w:pPr>
      <w:r>
        <w:rPr>
          <w:sz w:val="17"/>
        </w:rPr>
        <w:t>Allied network design (the paper's model design of coalition production shares).</w:t>
      </w:r>
    </w:p>
    <w:p>
      <w:pPr>
        <w:pBdr>
          <w:top w:val="single" w:sz="4" w:space="4" w:color="D1D5DB"/>
        </w:pBdr>
      </w:pPr>
      <w:r>
        <w:rPr>
          <w:i/>
          <w:color w:val="4B5563"/>
          <w:sz w:val="18"/>
        </w:rPr>
        <w:t>AI-generated from the data and checked against it; paper baseline as of 12 October 2026.</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i/>
        <w:color w:val="4B5563"/>
        <w:sz w:val="16"/>
      </w:rPr>
      <w:t>AI-generated from the data and checked against it; paper baseline as of 12 October 2026.  Allied Industrial Base Explorer, Country Insights: Australia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82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1182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1182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11182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energy security, economic opportunity and partnership priorities</dc:title>
  <dc:subject>Country Insights policy memo</dc:subject>
  <dc:creator>NEIS Center, Allied Industrial Base Explorer (AI-generated, checked against the data)</dc:creator>
  <cp:keywords>energy security; economic opportunity; Strategic Index; Partnership Strength Index; AUS</cp:keywords>
  <dc:description>paper baseline as of 12 October 2026; fact sheet sha256 f7ac4a6d13f8fe2d0a70eca81b2ac81fcbb9cd645a6e6cda1d5549ecaa27eb9d</dc:description>
  <cp:lastModifiedBy/>
  <cp:revision>1</cp:revision>
  <dcterms:created xsi:type="dcterms:W3CDTF">2013-12-23T23:15:00Z</dcterms:created>
  <dcterms:modified xsi:type="dcterms:W3CDTF">2013-12-23T23:15:00Z</dcterms:modified>
  <cp:category/>
</cp:coreProperties>
</file>