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Austria: energy security, economic opportunity and partnership priorities</w:t>
      </w:r>
    </w:p>
    <w:p>
      <w:r>
        <w:rPr>
          <w:color w:val="4B5563"/>
          <w:sz w:val="18"/>
        </w:rPr>
        <w:t>Policy memo · Country Insights · Allied Industrial Base Explorer · NEIS Center</w:t>
      </w:r>
    </w:p>
    <w:p>
      <w:pPr>
        <w:pBdr>
          <w:top w:val="single" w:sz="4" w:space="4" w:color="D1D5DB"/>
        </w:pBdr>
      </w:pPr>
      <w:r>
        <w:rPr>
          <w:i/>
          <w:color w:val="4B5563"/>
          <w:sz w:val="19"/>
        </w:rPr>
        <w:t>AI-generated from the data and checked against it; paper baseline as of 12 October 2026.</w:t>
      </w:r>
    </w:p>
    <w:tbl>
      <w:tblPr>
        <w:tblW w:type="auto" w:w="0"/>
        <w:tblLook w:firstColumn="1" w:firstRow="1" w:lastColumn="0" w:lastRow="0" w:noHBand="0" w:noVBand="1" w:val="04A0"/>
      </w:tblPr>
      <w:tblGrid>
        <w:gridCol w:w="10080"/>
      </w:tblGrid>
      <w:tr>
        <w:tc>
          <w:tcPr>
            <w:tcW w:type="dxa" w:w="10080"/>
            <w:shd w:val="clear" w:color="auto" w:fill="F3F4F6"/>
            <w:tcBorders>
              <w:top w:val="nil"/>
              <w:left w:val="single" w:sz="24" w:space="0" w:color="F58229"/>
              <w:bottom w:val="nil"/>
              <w:right w:val="nil"/>
            </w:tcBorders>
            <w:tcMar>
              <w:top w:w="120" w:type="dxa"/>
              <w:left w:w="200" w:type="dxa"/>
              <w:bottom w:w="80" w:type="dxa"/>
              <w:right w:w="160" w:type="dxa"/>
            </w:tcMar>
          </w:tcPr>
          <w:p>
            <w:r>
              <w:rPr>
                <w:b/>
                <w:sz w:val="24"/>
              </w:rPr>
              <w:t>Summary</w:t>
            </w:r>
          </w:p>
          <w:p>
            <w:pPr>
              <w:pStyle w:val="ListBullet"/>
            </w:pPr>
            <w:r>
              <w:t xml:space="preserve">Austria is most exposed in </w:t>
            </w:r>
            <w:r>
              <w:t>upstream coal</w:t>
            </w:r>
            <w:r>
              <w:t xml:space="preserve"> and </w:t>
            </w:r>
            <w:r>
              <w:t>midstream batteries</w:t>
            </w:r>
            <w:r>
              <w:t xml:space="preserve">, where its Energy Security is higher than only </w:t>
            </w:r>
            <w:r>
              <w:t>6%</w:t>
            </w:r>
            <w:r>
              <w:t xml:space="preserve"> and </w:t>
            </w:r>
            <w:r>
              <w:t>9%</w:t>
            </w:r>
            <w:r>
              <w:t xml:space="preserve"> of the other economies scored. In coal, production minus consumption was </w:t>
            </w:r>
            <w:r>
              <w:t>-0.0957 EJ</w:t>
            </w:r>
            <w:r>
              <w:t xml:space="preserve"> in </w:t>
            </w:r>
            <w:r>
              <w:t>2025</w:t>
            </w:r>
            <w:r>
              <w:t>.</w:t>
            </w:r>
            <w:r>
              <w:rPr>
                <w:color w:val="4B5563"/>
                <w:vertAlign w:val="superscript"/>
              </w:rPr>
              <w:t>1,2,3</w:t>
            </w:r>
          </w:p>
          <w:p>
            <w:pPr>
              <w:pStyle w:val="ListBullet"/>
            </w:pPr>
            <w:r>
              <w:t xml:space="preserve">Its strongest openings are in </w:t>
            </w:r>
            <w:r>
              <w:t>midstream oil</w:t>
            </w:r>
            <w:r>
              <w:t xml:space="preserve"> and </w:t>
            </w:r>
            <w:r>
              <w:t>midstream gas</w:t>
            </w:r>
            <w:r>
              <w:t xml:space="preserve">, where its Economic Opportunity is higher than </w:t>
            </w:r>
            <w:r>
              <w:t>99%</w:t>
            </w:r>
            <w:r>
              <w:t xml:space="preserve"> and </w:t>
            </w:r>
            <w:r>
              <w:t>96%</w:t>
            </w:r>
            <w:r>
              <w:t xml:space="preserve"> of the other economies scored.</w:t>
            </w:r>
            <w:r>
              <w:rPr>
                <w:color w:val="4B5563"/>
                <w:vertAlign w:val="superscript"/>
              </w:rPr>
              <w:t>1</w:t>
            </w:r>
          </w:p>
          <w:p>
            <w:pPr>
              <w:pStyle w:val="ListBullet"/>
            </w:pPr>
            <w:r>
              <w:t xml:space="preserve">On the paper's weighting, the Strategic Index ranks </w:t>
            </w:r>
            <w:r>
              <w:t>upstream nuclear</w:t>
            </w:r>
            <w:r>
              <w:t xml:space="preserve"> </w:t>
            </w:r>
            <w:r>
              <w:t>1st</w:t>
            </w:r>
            <w:r>
              <w:t xml:space="preserve"> among Austria's own sectors, almost tied with </w:t>
            </w:r>
            <w:r>
              <w:t>upstream batteries</w:t>
            </w:r>
            <w:r>
              <w:t xml:space="preserve">. Top data-based priority meets the most policy activity in </w:t>
            </w:r>
            <w:r>
              <w:t>upstream batteries, upstream solar, midstream batteries and midstream solar</w:t>
            </w:r>
            <w:r>
              <w:t>.</w:t>
            </w:r>
            <w:r>
              <w:rPr>
                <w:color w:val="4B5563"/>
                <w:vertAlign w:val="superscript"/>
              </w:rPr>
              <w:t>1</w:t>
            </w:r>
          </w:p>
          <w:p>
            <w:pPr>
              <w:pStyle w:val="ListBullet"/>
            </w:pPr>
            <w:r>
              <w:t xml:space="preserve">The Partnership Strength Index rates </w:t>
            </w:r>
            <w:r>
              <w:t>Germany</w:t>
            </w:r>
            <w:r>
              <w:t xml:space="preserve"> highest for Austria, as an </w:t>
            </w:r>
            <w:r>
              <w:t>export market</w:t>
            </w:r>
            <w:r>
              <w:t xml:space="preserve">. It is also Austria's </w:t>
            </w:r>
            <w:r>
              <w:t>1st</w:t>
            </w:r>
            <w:r>
              <w:t xml:space="preserve"> trade partner; </w:t>
            </w:r>
            <w:r>
              <w:t>China</w:t>
            </w:r>
            <w:r>
              <w:t xml:space="preserve"> ranks </w:t>
            </w:r>
            <w:r>
              <w:t>3rd</w:t>
            </w:r>
            <w:r>
              <w:t xml:space="preserve"> by trade but </w:t>
            </w:r>
            <w:r>
              <w:t>43rd</w:t>
            </w:r>
            <w:r>
              <w:t xml:space="preserve"> on Partnership Strength.</w:t>
            </w:r>
            <w:r>
              <w:rPr>
                <w:color w:val="4B5563"/>
                <w:vertAlign w:val="superscript"/>
              </w:rPr>
              <w:t>1,4</w:t>
            </w:r>
          </w:p>
        </w:tc>
      </w:tr>
    </w:tbl>
    <w:p/>
    <w:p>
      <w:pPr>
        <w:pStyle w:val="Heading1"/>
      </w:pPr>
      <w:r>
        <w:t>1. Energy security risks and why</w:t>
      </w:r>
    </w:p>
    <w:p>
      <w:r>
        <w:t>11</w:t>
      </w:r>
      <w:r>
        <w:t xml:space="preserve"> of Austria's </w:t>
      </w:r>
      <w:r>
        <w:t>30</w:t>
      </w:r>
      <w:r>
        <w:t xml:space="preserve"> placed sectors, those whose scores can be compared with other economies, sit in the two low-energy-security corners. Energy Security measures how well a country can rely on what it needs in a sector: its own production and reserves, its import needs and how concentrated world supply is.</w:t>
      </w:r>
      <w:r>
        <w:rPr>
          <w:color w:val="4B5563"/>
          <w:vertAlign w:val="superscript"/>
        </w:rPr>
        <w:t>1</w:t>
      </w:r>
    </w:p>
    <w:p>
      <w:r>
        <w:t xml:space="preserve">Its lowest Energy Security percentiles are in </w:t>
      </w:r>
      <w:r>
        <w:t>upstream coal</w:t>
      </w:r>
      <w:r>
        <w:t xml:space="preserve">, </w:t>
      </w:r>
      <w:r>
        <w:t>midstream batteries</w:t>
      </w:r>
      <w:r>
        <w:t xml:space="preserve"> and </w:t>
      </w:r>
      <w:r>
        <w:t>upstream nuclear</w:t>
      </w:r>
      <w:r>
        <w:t xml:space="preserve">. In </w:t>
      </w:r>
      <w:r>
        <w:t>upstream coal</w:t>
      </w:r>
      <w:r>
        <w:t xml:space="preserve"> it scores </w:t>
      </w:r>
      <w:r>
        <w:t>0.25</w:t>
      </w:r>
      <w:r>
        <w:t xml:space="preserve">, higher than only </w:t>
      </w:r>
      <w:r>
        <w:t>6%</w:t>
      </w:r>
      <w:r>
        <w:t xml:space="preserve"> of the other </w:t>
      </w:r>
      <w:r>
        <w:t>95</w:t>
      </w:r>
      <w:r>
        <w:t xml:space="preserve"> economies scored. In </w:t>
      </w:r>
      <w:r>
        <w:t>midstream batteries</w:t>
      </w:r>
      <w:r>
        <w:t xml:space="preserve"> it scores </w:t>
      </w:r>
      <w:r>
        <w:t>0.29</w:t>
      </w:r>
      <w:r>
        <w:t xml:space="preserve">, higher than </w:t>
      </w:r>
      <w:r>
        <w:t>9%</w:t>
      </w:r>
      <w:r>
        <w:t xml:space="preserve"> of the other </w:t>
      </w:r>
      <w:r>
        <w:t>53</w:t>
      </w:r>
      <w:r>
        <w:t xml:space="preserve">, and in </w:t>
      </w:r>
      <w:r>
        <w:t>upstream nuclear</w:t>
      </w:r>
      <w:r>
        <w:t xml:space="preserve"> </w:t>
      </w:r>
      <w:r>
        <w:t>0.16</w:t>
      </w:r>
      <w:r>
        <w:t xml:space="preserve">, higher than </w:t>
      </w:r>
      <w:r>
        <w:t>12%</w:t>
      </w:r>
      <w:r>
        <w:t xml:space="preserve"> of the other </w:t>
      </w:r>
      <w:r>
        <w:t>174</w:t>
      </w:r>
      <w:r>
        <w:t xml:space="preserve">. All sit in the </w:t>
      </w:r>
      <w:r>
        <w:t>Upgrade</w:t>
      </w:r>
      <w:r>
        <w:t xml:space="preserve"> corner, where opportunity is high but energy security low.</w:t>
      </w:r>
      <w:r>
        <w:rPr>
          <w:color w:val="4B5563"/>
          <w:vertAlign w:val="superscript"/>
        </w:rPr>
        <w:t>1</w:t>
      </w:r>
    </w:p>
    <w:p>
      <w:r>
        <w:t xml:space="preserve">Its high-priority sectors are the high-opportunity, low-energy-security sectors that the Strategic Index ranks highest. They include </w:t>
      </w:r>
      <w:r>
        <w:t>upstream nuclear</w:t>
      </w:r>
      <w:r>
        <w:t xml:space="preserve"> and </w:t>
      </w:r>
      <w:r>
        <w:t>midstream batteries</w:t>
      </w:r>
      <w:r>
        <w:t xml:space="preserve">. In </w:t>
      </w:r>
      <w:r>
        <w:t>upstream nuclear</w:t>
      </w:r>
      <w:r>
        <w:t xml:space="preserve">, trade pulls the score down: its share of world exports of these goods was </w:t>
      </w:r>
      <w:r>
        <w:t>0.0%</w:t>
      </w:r>
      <w:r>
        <w:t xml:space="preserve"> in </w:t>
      </w:r>
      <w:r>
        <w:t>2023</w:t>
      </w:r>
      <w:r>
        <w:t xml:space="preserve">, and on this measure it scores higher than only </w:t>
      </w:r>
      <w:r>
        <w:t>7%</w:t>
      </w:r>
      <w:r>
        <w:t xml:space="preserve"> of the other economies. In </w:t>
      </w:r>
      <w:r>
        <w:t>midstream batteries</w:t>
      </w:r>
      <w:r>
        <w:t xml:space="preserve">, investment and trade pull it down. Its investment score is </w:t>
      </w:r>
      <w:r>
        <w:t>0.00</w:t>
      </w:r>
      <w:r>
        <w:t xml:space="preserve"> against a median of </w:t>
      </w:r>
      <w:r>
        <w:t>0.25</w:t>
      </w:r>
      <w:r>
        <w:t xml:space="preserve">: most of its measures are not reported by the source, which the index counts as zero. Its trade deficit in these goods equalled </w:t>
      </w:r>
      <w:r>
        <w:t>0.2% of GDP</w:t>
      </w:r>
      <w:r>
        <w:t xml:space="preserve"> in </w:t>
      </w:r>
      <w:r>
        <w:t>2023</w:t>
      </w:r>
      <w:r>
        <w:t>.</w:t>
      </w:r>
      <w:r>
        <w:rPr>
          <w:color w:val="4B5563"/>
          <w:vertAlign w:val="superscript"/>
        </w:rPr>
        <w:t>1,5</w:t>
      </w:r>
    </w:p>
    <w:p>
      <w:r>
        <w:t xml:space="preserve">In </w:t>
      </w:r>
      <w:r>
        <w:t>upstream coal</w:t>
      </w:r>
      <w:r>
        <w:t xml:space="preserve"> the score is low mainly because of import needs and trade. Coal production minus consumption was </w:t>
      </w:r>
      <w:r>
        <w:t>-0.0957 EJ</w:t>
      </w:r>
      <w:r>
        <w:t xml:space="preserve"> in </w:t>
      </w:r>
      <w:r>
        <w:t>2025</w:t>
      </w:r>
      <w:r>
        <w:t xml:space="preserve"> (</w:t>
      </w:r>
      <w:r>
        <w:t>production from the U.S. Energy Information Administration's international statistics, as the Energy Institute does not report it separately</w:t>
      </w:r>
      <w:r>
        <w:t xml:space="preserve">). Its trade deficit in these goods equalled </w:t>
      </w:r>
      <w:r>
        <w:t>0.2% of GDP</w:t>
      </w:r>
      <w:r>
        <w:t xml:space="preserve"> in </w:t>
      </w:r>
      <w:r>
        <w:t>2023</w:t>
      </w:r>
      <w:r>
        <w:t>.</w:t>
      </w:r>
      <w:r>
        <w:rPr>
          <w:color w:val="4B5563"/>
          <w:vertAlign w:val="superscript"/>
        </w:rPr>
        <w:t>2,3,5</w:t>
      </w:r>
    </w:p>
    <w:p>
      <w:r>
        <w:t xml:space="preserve">For context, Austria imported </w:t>
      </w:r>
      <w:r>
        <w:t>USD 1.6 bn</w:t>
      </w:r>
      <w:r>
        <w:t xml:space="preserve"> of midstream battery goods in </w:t>
      </w:r>
      <w:r>
        <w:t>2024</w:t>
      </w:r>
      <w:r>
        <w:t xml:space="preserve">; its largest suppliers were </w:t>
      </w:r>
      <w:r>
        <w:t>China</w:t>
      </w:r>
      <w:r>
        <w:t xml:space="preserve"> (</w:t>
      </w:r>
      <w:r>
        <w:t>33.9%</w:t>
      </w:r>
      <w:r>
        <w:t xml:space="preserve">), </w:t>
      </w:r>
      <w:r>
        <w:t>Poland</w:t>
      </w:r>
      <w:r>
        <w:t xml:space="preserve"> (</w:t>
      </w:r>
      <w:r>
        <w:t>13.9%</w:t>
      </w:r>
      <w:r>
        <w:t xml:space="preserve">) and </w:t>
      </w:r>
      <w:r>
        <w:t>Germany</w:t>
      </w:r>
      <w:r>
        <w:t xml:space="preserve"> (</w:t>
      </w:r>
      <w:r>
        <w:t>11.8%</w:t>
      </w:r>
      <w:r>
        <w:t>).</w:t>
      </w:r>
      <w:r>
        <w:rPr>
          <w:color w:val="4B5563"/>
          <w:vertAlign w:val="superscript"/>
        </w:rPr>
        <w:t>4</w:t>
      </w:r>
    </w:p>
    <w:p>
      <w:pPr>
        <w:pStyle w:val="Heading1"/>
      </w:pPr>
      <w:r>
        <w:t>2. Economic opportunities and why</w:t>
      </w:r>
    </w:p>
    <w:p>
      <w:r>
        <w:t>28</w:t>
      </w:r>
      <w:r>
        <w:t xml:space="preserve"> of its </w:t>
      </w:r>
      <w:r>
        <w:t>30</w:t>
      </w:r>
      <w:r>
        <w:t xml:space="preserve"> placed sectors sit in the two high-opportunity corners. Economic Opportunity measures how well placed a country is to create value in a sector: exports, related capabilities, investment, costs, demand and technology readiness.</w:t>
      </w:r>
      <w:r>
        <w:rPr>
          <w:color w:val="4B5563"/>
          <w:vertAlign w:val="superscript"/>
        </w:rPr>
        <w:t>1</w:t>
      </w:r>
    </w:p>
    <w:p>
      <w:r>
        <w:t xml:space="preserve">Its highest Economic Opportunity percentiles are in </w:t>
      </w:r>
      <w:r>
        <w:t>midstream oil</w:t>
      </w:r>
      <w:r>
        <w:t xml:space="preserve">, </w:t>
      </w:r>
      <w:r>
        <w:t>midstream gas</w:t>
      </w:r>
      <w:r>
        <w:t xml:space="preserve"> and </w:t>
      </w:r>
      <w:r>
        <w:t>downstream solar</w:t>
      </w:r>
      <w:r>
        <w:t xml:space="preserve">, higher than </w:t>
      </w:r>
      <w:r>
        <w:t>99%</w:t>
      </w:r>
      <w:r>
        <w:t xml:space="preserve">, </w:t>
      </w:r>
      <w:r>
        <w:t>96%</w:t>
      </w:r>
      <w:r>
        <w:t xml:space="preserve"> and </w:t>
      </w:r>
      <w:r>
        <w:t>96%</w:t>
      </w:r>
      <w:r>
        <w:t xml:space="preserve"> of the other economies scored in each. All sit in the </w:t>
      </w:r>
      <w:r>
        <w:t>Grow</w:t>
      </w:r>
      <w:r>
        <w:t xml:space="preserve"> corner.</w:t>
      </w:r>
      <w:r>
        <w:rPr>
          <w:color w:val="4B5563"/>
          <w:vertAlign w:val="superscript"/>
        </w:rPr>
        <w:t>1</w:t>
      </w:r>
    </w:p>
    <w:p>
      <w:r>
        <w:t xml:space="preserve">In </w:t>
      </w:r>
      <w:r>
        <w:t>midstream oil</w:t>
      </w:r>
      <w:r>
        <w:t xml:space="preserve">, trade and cost competitiveness push the score up. Its exports of these goods were </w:t>
      </w:r>
      <w:r>
        <w:t>USD 1.91 bn</w:t>
      </w:r>
      <w:r>
        <w:t xml:space="preserve"> in </w:t>
      </w:r>
      <w:r>
        <w:t>2024</w:t>
      </w:r>
      <w:r>
        <w:t xml:space="preserve">. Its revealed comparative advantage, its share of world exports of these goods relative to its share of all world exports, was </w:t>
      </w:r>
      <w:r>
        <w:t>1.54</w:t>
      </w:r>
      <w:r>
        <w:t xml:space="preserve"> in </w:t>
      </w:r>
      <w:r>
        <w:t>2024</w:t>
      </w:r>
      <w:r>
        <w:t xml:space="preserve">. In </w:t>
      </w:r>
      <w:r>
        <w:t>midstream gas</w:t>
      </w:r>
      <w:r>
        <w:t xml:space="preserve"> the same categories push it up: its export feasibility, how close these goods are to what it already exports well, is </w:t>
      </w:r>
      <w:r>
        <w:t>0.41</w:t>
      </w:r>
      <w:r>
        <w:t xml:space="preserve"> for </w:t>
      </w:r>
      <w:r>
        <w:t>2023</w:t>
      </w:r>
      <w:r>
        <w:t xml:space="preserve">, higher than </w:t>
      </w:r>
      <w:r>
        <w:t>95%</w:t>
      </w:r>
      <w:r>
        <w:t xml:space="preserve"> of the other economies. In </w:t>
      </w:r>
      <w:r>
        <w:t>downstream solar</w:t>
      </w:r>
      <w:r>
        <w:t xml:space="preserve">, cost competitiveness and energy access push it up: its consumption in this sector was </w:t>
      </w:r>
      <w:r>
        <w:t>4.13 GJ per person</w:t>
      </w:r>
      <w:r>
        <w:t xml:space="preserve"> in </w:t>
      </w:r>
      <w:r>
        <w:t>2025</w:t>
      </w:r>
      <w:r>
        <w:t>.</w:t>
      </w:r>
      <w:r>
        <w:rPr>
          <w:color w:val="4B5563"/>
          <w:vertAlign w:val="superscript"/>
        </w:rPr>
        <w:t>1,2,5,6</w:t>
      </w:r>
    </w:p>
    <w:p>
      <w:r>
        <w:t xml:space="preserve">For context, its largest markets for </w:t>
      </w:r>
      <w:r>
        <w:t>midstream oil</w:t>
      </w:r>
      <w:r>
        <w:t xml:space="preserve"> in </w:t>
      </w:r>
      <w:r>
        <w:t>2024</w:t>
      </w:r>
      <w:r>
        <w:t xml:space="preserve"> were the </w:t>
      </w:r>
      <w:r>
        <w:t>United States</w:t>
      </w:r>
      <w:r>
        <w:t xml:space="preserve"> (</w:t>
      </w:r>
      <w:r>
        <w:t>27.4%</w:t>
      </w:r>
      <w:r>
        <w:t xml:space="preserve">) and </w:t>
      </w:r>
      <w:r>
        <w:t>Germany</w:t>
      </w:r>
      <w:r>
        <w:t xml:space="preserve"> (</w:t>
      </w:r>
      <w:r>
        <w:t>14.4%</w:t>
      </w:r>
      <w:r>
        <w:t>).</w:t>
      </w:r>
      <w:r>
        <w:rPr>
          <w:color w:val="4B5563"/>
          <w:vertAlign w:val="superscript"/>
        </w:rPr>
        <w:t>4</w:t>
      </w:r>
    </w:p>
    <w:p>
      <w:r>
        <w:t xml:space="preserve">The paper's framework associates the Grow corner, high opportunity with high energy security, with building on strength (export promotion in RMI (2025)). </w:t>
      </w:r>
      <w:r>
        <w:t>9</w:t>
      </w:r>
      <w:r>
        <w:t xml:space="preserve"> of Austria's sectors sit in the Upgrade corner, which pairs high opportunity with low energy security; the framework associates it with building domestic capability (leapfrogging).</w:t>
      </w:r>
      <w:r>
        <w:rPr>
          <w:color w:val="4B5563"/>
          <w:vertAlign w:val="superscript"/>
        </w:rPr>
        <w:t>1</w:t>
      </w:r>
    </w:p>
    <w:p>
      <w:pPr>
        <w:pStyle w:val="Heading1"/>
      </w:pPr>
      <w:r>
        <w:t>3. Sectoral priorities and the existing policy posture</w:t>
      </w:r>
    </w:p>
    <w:p>
      <w:r>
        <w:t xml:space="preserve">The Strategic Index ranks a country's own sectors by how strongly the data point to prioritising them, adding opportunity, security need, existing policy activity, the stage and the technology's low-emission value. On the paper's weighting, it ranks </w:t>
      </w:r>
      <w:r>
        <w:t>upstream nuclear</w:t>
      </w:r>
      <w:r>
        <w:t xml:space="preserve"> </w:t>
      </w:r>
      <w:r>
        <w:t>1st</w:t>
      </w:r>
      <w:r>
        <w:t xml:space="preserve"> among Austria's own sectors at </w:t>
      </w:r>
      <w:r>
        <w:t>0.66</w:t>
      </w:r>
      <w:r>
        <w:t xml:space="preserve">, almost tied with </w:t>
      </w:r>
      <w:r>
        <w:t>upstream batteries</w:t>
      </w:r>
      <w:r>
        <w:t xml:space="preserve"> (</w:t>
      </w:r>
      <w:r>
        <w:t>0.000</w:t>
      </w:r>
      <w:r>
        <w:t xml:space="preserve"> apart). Security need adds </w:t>
      </w:r>
      <w:r>
        <w:t>0.251</w:t>
      </w:r>
      <w:r>
        <w:t xml:space="preserve"> to that score and opportunity </w:t>
      </w:r>
      <w:r>
        <w:t>0.157</w:t>
      </w:r>
      <w:r>
        <w:t>.</w:t>
      </w:r>
      <w:r>
        <w:rPr>
          <w:color w:val="4B5563"/>
          <w:vertAlign w:val="superscript"/>
        </w:rPr>
        <w:t>1</w:t>
      </w:r>
    </w:p>
    <w:p>
      <w:r>
        <w:t xml:space="preserve">It ranks </w:t>
      </w:r>
      <w:r>
        <w:t>upstream batteries</w:t>
      </w:r>
      <w:r>
        <w:t xml:space="preserve"> </w:t>
      </w:r>
      <w:r>
        <w:t>2nd</w:t>
      </w:r>
      <w:r>
        <w:t xml:space="preserve">, </w:t>
      </w:r>
      <w:r>
        <w:t>upstream solar</w:t>
      </w:r>
      <w:r>
        <w:t xml:space="preserve"> </w:t>
      </w:r>
      <w:r>
        <w:t>3rd</w:t>
      </w:r>
      <w:r>
        <w:t xml:space="preserve"> and </w:t>
      </w:r>
      <w:r>
        <w:t>downstream solar</w:t>
      </w:r>
      <w:r>
        <w:t xml:space="preserve"> </w:t>
      </w:r>
      <w:r>
        <w:t>4th</w:t>
      </w:r>
      <w:r>
        <w:t xml:space="preserve">; each is almost tied with the sector ranked after it, at </w:t>
      </w:r>
      <w:r>
        <w:t>0.006</w:t>
      </w:r>
      <w:r>
        <w:t xml:space="preserve">, </w:t>
      </w:r>
      <w:r>
        <w:t>0.002</w:t>
      </w:r>
      <w:r>
        <w:t xml:space="preserve"> and </w:t>
      </w:r>
      <w:r>
        <w:t>0.008</w:t>
      </w:r>
      <w:r>
        <w:t xml:space="preserve"> apart. Austria's allied pick, its first upstream or midstream sector on the Strategic Index after a resource-base screen, is </w:t>
      </w:r>
      <w:r>
        <w:t>midstream batteries</w:t>
      </w:r>
      <w:r>
        <w:t xml:space="preserve">, ranked </w:t>
      </w:r>
      <w:r>
        <w:t>5th</w:t>
      </w:r>
      <w:r>
        <w:t>. The upstream sectors ranked above it are screened out because no resource base is recorded for them.</w:t>
      </w:r>
      <w:r>
        <w:rPr>
          <w:color w:val="4B5563"/>
          <w:vertAlign w:val="superscript"/>
        </w:rPr>
        <w:t>1,7</w:t>
      </w:r>
    </w:p>
    <w:p>
      <w:r>
        <w:t xml:space="preserve">To compare priorities with policy without counting policy in both, priority is read without the policy term, and both are split into thirds of Austria's sectors. Top priority meets the most policy activity in </w:t>
      </w:r>
      <w:r>
        <w:t>upstream batteries, upstream solar, midstream batteries and midstream solar</w:t>
      </w:r>
      <w:r>
        <w:t xml:space="preserve">, and no top-priority sector falls among those with the least policy. The reverse, bottom priority with the most policy, applies to </w:t>
      </w:r>
      <w:r>
        <w:t>downstream green hydrogen</w:t>
      </w:r>
      <w:r>
        <w:t>.</w:t>
      </w:r>
      <w:r>
        <w:rPr>
          <w:color w:val="4B5563"/>
          <w:vertAlign w:val="superscript"/>
        </w:rPr>
        <w:t>1</w:t>
      </w:r>
    </w:p>
    <w:p>
      <w:r>
        <w:t xml:space="preserve">Austria carries the European Union's Climate Action Tracker rating, </w:t>
      </w:r>
      <w:r>
        <w:t>Insufficient</w:t>
      </w:r>
      <w:r>
        <w:t xml:space="preserve"> as of </w:t>
      </w:r>
      <w:r>
        <w:t>November 2024</w:t>
      </w:r>
      <w:r>
        <w:t xml:space="preserve">. Austria has </w:t>
      </w:r>
      <w:r>
        <w:t>240</w:t>
      </w:r>
      <w:r>
        <w:t xml:space="preserve"> International Energy Agency Policies and Measures records, of which </w:t>
      </w:r>
      <w:r>
        <w:t>115</w:t>
      </w:r>
      <w:r>
        <w:t xml:space="preserve"> name a technology.</w:t>
      </w:r>
      <w:r>
        <w:rPr>
          <w:color w:val="4B5563"/>
          <w:vertAlign w:val="superscript"/>
        </w:rPr>
        <w:t>8,9</w:t>
      </w:r>
    </w:p>
    <w:p>
      <w:pPr>
        <w:pStyle w:val="Heading1"/>
      </w:pPr>
      <w:r>
        <w:t>4. Partnership priorities and why</w:t>
      </w:r>
    </w:p>
    <w:p>
      <w:r>
        <w:t xml:space="preserve">The Partnership Strength Index scores how strong a partner is in energy supply chains: as a reliable supplier (Friendshore), as an export market (Partnership Opportunity) or, for middle- and lower-income partners, through Development Potential. From Austria's viewpoint it rates </w:t>
      </w:r>
      <w:r>
        <w:t>Germany</w:t>
      </w:r>
      <w:r>
        <w:t xml:space="preserve"> highest, as an </w:t>
      </w:r>
      <w:r>
        <w:t>export market</w:t>
      </w:r>
      <w:r>
        <w:t xml:space="preserve">, strongest in </w:t>
      </w:r>
      <w:r>
        <w:t>upstream electric vehicles, upstream batteries, upstream wind, midstream electric grid and midstream wind</w:t>
      </w:r>
      <w:r>
        <w:t>.</w:t>
      </w:r>
      <w:r>
        <w:rPr>
          <w:color w:val="4B5563"/>
          <w:vertAlign w:val="superscript"/>
        </w:rPr>
        <w:t>1</w:t>
      </w:r>
    </w:p>
    <w:p>
      <w:r>
        <w:t xml:space="preserve">The </w:t>
      </w:r>
      <w:r>
        <w:t>United States</w:t>
      </w:r>
      <w:r>
        <w:t xml:space="preserve"> ranks </w:t>
      </w:r>
      <w:r>
        <w:t>2nd</w:t>
      </w:r>
      <w:r>
        <w:t xml:space="preserve">, as a </w:t>
      </w:r>
      <w:r>
        <w:t>reliable supplier</w:t>
      </w:r>
      <w:r>
        <w:t xml:space="preserve">; </w:t>
      </w:r>
      <w:r>
        <w:t>Italy</w:t>
      </w:r>
      <w:r>
        <w:t xml:space="preserve"> ranks </w:t>
      </w:r>
      <w:r>
        <w:t>3rd</w:t>
      </w:r>
      <w:r>
        <w:t xml:space="preserve">, as an </w:t>
      </w:r>
      <w:r>
        <w:t>export market</w:t>
      </w:r>
      <w:r>
        <w:t xml:space="preserve">; </w:t>
      </w:r>
      <w:r>
        <w:t>Poland</w:t>
      </w:r>
      <w:r>
        <w:t xml:space="preserve"> ranks </w:t>
      </w:r>
      <w:r>
        <w:t>4th</w:t>
      </w:r>
      <w:r>
        <w:t xml:space="preserve"> and </w:t>
      </w:r>
      <w:r>
        <w:t>Hungary</w:t>
      </w:r>
      <w:r>
        <w:t xml:space="preserve"> </w:t>
      </w:r>
      <w:r>
        <w:t>5th</w:t>
      </w:r>
      <w:r>
        <w:t xml:space="preserve">, each as a </w:t>
      </w:r>
      <w:r>
        <w:t>reliable supplier</w:t>
      </w:r>
      <w:r>
        <w:t>.</w:t>
      </w:r>
      <w:r>
        <w:rPr>
          <w:color w:val="4B5563"/>
          <w:vertAlign w:val="superscript"/>
        </w:rPr>
        <w:t>1</w:t>
      </w:r>
    </w:p>
    <w:p>
      <w:r>
        <w:t xml:space="preserve">Today's ties largely match this ranking. By average share across its energy-goods baskets, </w:t>
      </w:r>
      <w:r>
        <w:t>Germany</w:t>
      </w:r>
      <w:r>
        <w:t xml:space="preserve"> is Austria's </w:t>
      </w:r>
      <w:r>
        <w:t>1st</w:t>
      </w:r>
      <w:r>
        <w:t xml:space="preserve"> trade partner, the </w:t>
      </w:r>
      <w:r>
        <w:t>United States</w:t>
      </w:r>
      <w:r>
        <w:t xml:space="preserve"> its </w:t>
      </w:r>
      <w:r>
        <w:t>2nd</w:t>
      </w:r>
      <w:r>
        <w:t xml:space="preserve">, </w:t>
      </w:r>
      <w:r>
        <w:t>Italy</w:t>
      </w:r>
      <w:r>
        <w:t xml:space="preserve"> its </w:t>
      </w:r>
      <w:r>
        <w:t>4th</w:t>
      </w:r>
      <w:r>
        <w:t xml:space="preserve">, </w:t>
      </w:r>
      <w:r>
        <w:t>Hungary</w:t>
      </w:r>
      <w:r>
        <w:t xml:space="preserve"> its </w:t>
      </w:r>
      <w:r>
        <w:t>5th</w:t>
      </w:r>
      <w:r>
        <w:t xml:space="preserve"> and </w:t>
      </w:r>
      <w:r>
        <w:t>Poland</w:t>
      </w:r>
      <w:r>
        <w:t xml:space="preserve"> its </w:t>
      </w:r>
      <w:r>
        <w:t>6th</w:t>
      </w:r>
      <w:r>
        <w:t xml:space="preserve">. The index calls each of them </w:t>
      </w:r>
      <w:r>
        <w:t>a priority partner with strong ties today</w:t>
      </w:r>
      <w:r>
        <w:t>.</w:t>
      </w:r>
      <w:r>
        <w:rPr>
          <w:color w:val="4B5563"/>
          <w:vertAlign w:val="superscript"/>
        </w:rPr>
        <w:t>1,4</w:t>
      </w:r>
    </w:p>
    <w:p>
      <w:r>
        <w:t xml:space="preserve">The exceptions are large trade partners it ranks lower. </w:t>
      </w:r>
      <w:r>
        <w:t>China</w:t>
      </w:r>
      <w:r>
        <w:t xml:space="preserve"> is Austria's </w:t>
      </w:r>
      <w:r>
        <w:t>3rd</w:t>
      </w:r>
      <w:r>
        <w:t xml:space="preserve"> trade partner but ranks </w:t>
      </w:r>
      <w:r>
        <w:t>43rd</w:t>
      </w:r>
      <w:r>
        <w:t xml:space="preserve"> on Partnership Strength, as a </w:t>
      </w:r>
      <w:r>
        <w:t>development partner</w:t>
      </w:r>
      <w:r>
        <w:t xml:space="preserve">, and Austria and </w:t>
      </w:r>
      <w:r>
        <w:t>China</w:t>
      </w:r>
      <w:r>
        <w:t xml:space="preserve"> vote in </w:t>
      </w:r>
      <w:r>
        <w:t>opposite blocs</w:t>
      </w:r>
      <w:r>
        <w:t xml:space="preserve"> at the United Nations. </w:t>
      </w:r>
      <w:r>
        <w:t>Switzerland</w:t>
      </w:r>
      <w:r>
        <w:t xml:space="preserve">, its </w:t>
      </w:r>
      <w:r>
        <w:t>7th</w:t>
      </w:r>
      <w:r>
        <w:t xml:space="preserve"> trade partner, ranks </w:t>
      </w:r>
      <w:r>
        <w:t>44th</w:t>
      </w:r>
      <w:r>
        <w:t>.</w:t>
      </w:r>
      <w:r>
        <w:rPr>
          <w:color w:val="4B5563"/>
          <w:vertAlign w:val="superscript"/>
        </w:rPr>
        <w:t>1,4,10</w:t>
      </w:r>
    </w:p>
    <w:p>
      <w:r>
        <w:t xml:space="preserve">As a partner to the coalition, Austria ranks </w:t>
      </w:r>
      <w:r>
        <w:t>11th</w:t>
      </w:r>
      <w:r>
        <w:t xml:space="preserve"> of </w:t>
      </w:r>
      <w:r>
        <w:t>192</w:t>
      </w:r>
      <w:r>
        <w:t xml:space="preserve"> economies, averaged over the core members' viewpoints. In the allied network design, which spreads upstream and midstream production across coalition members, Austria's derived shares are largest in </w:t>
      </w:r>
      <w:r>
        <w:t>midstream gas</w:t>
      </w:r>
      <w:r>
        <w:t xml:space="preserve"> (</w:t>
      </w:r>
      <w:r>
        <w:t>0.7%</w:t>
      </w:r>
      <w:r>
        <w:t xml:space="preserve">) and </w:t>
      </w:r>
      <w:r>
        <w:t>midstream green hydrogen</w:t>
      </w:r>
      <w:r>
        <w:t xml:space="preserve"> (</w:t>
      </w:r>
      <w:r>
        <w:t>0.6%</w:t>
      </w:r>
      <w:r>
        <w:t>).</w:t>
      </w:r>
      <w:r>
        <w:rPr>
          <w:color w:val="4B5563"/>
          <w:vertAlign w:val="superscript"/>
        </w:rPr>
        <w:t>1,7</w:t>
      </w:r>
    </w:p>
    <w:p>
      <w:pPr>
        <w:pStyle w:val="Heading1"/>
      </w:pPr>
      <w:r>
        <w:t>5. Data notes and caveats</w:t>
      </w:r>
    </w:p>
    <w:p>
      <w:r>
        <w:t xml:space="preserve">Values are as of </w:t>
      </w:r>
      <w:r>
        <w:t>12 October 2026</w:t>
      </w:r>
      <w:r>
        <w:t xml:space="preserve">. </w:t>
      </w:r>
      <w:r>
        <w:t>Scores compare Austria with other economies in the same sector; they are not measures of risk or profit in absolute terms.</w:t>
      </w:r>
      <w:r>
        <w:t xml:space="preserve"> </w:t>
      </w:r>
      <w:r>
        <w:t>All index values are the paper's baseline as of 12 October 2026; Strategic Insights recomputes them under other weightings.</w:t>
      </w:r>
      <w:r>
        <w:t xml:space="preserve"> </w:t>
      </w:r>
      <w:r>
        <w:t>Some figures behind these scores are filled in where the source has no value: with zero where a source lists every holder, otherwise with the world average.</w:t>
      </w:r>
      <w:r>
        <w:t xml:space="preserve"> </w:t>
      </w:r>
      <w:r>
        <w:t>Strategic Index scores within 0.01 of each other are almost tied: small changes in the data or the weights can swap their order.</w:t>
      </w:r>
      <w:r>
        <w:t xml:space="preserve"> </w:t>
      </w:r>
      <w:r>
        <w:t>In the allied network design the European Union is one producer; Austria's shares are derived from its weight within the EU.</w:t>
      </w:r>
      <w:r>
        <w:t xml:space="preserve"> </w:t>
      </w:r>
      <w:r>
        <w:t>The Climate Action Tracker rates the EU as a whole; Austria carries the EU's rating.</w:t>
      </w:r>
      <w:r>
        <w:t xml:space="preserve"> </w:t>
      </w:r>
      <w:r>
        <w:t>Trade figures count trade with other EU members.</w:t>
      </w:r>
      <w:r>
        <w:t xml:space="preserve"> </w:t>
      </w:r>
      <w:r>
        <w:t>Many allied picks are close calls: in the paper, 37% of them are within 0.01 of the runner-up.</w:t>
      </w:r>
      <w:r>
        <w:t xml:space="preserve"> </w:t>
      </w:r>
      <w:r>
        <w:t>Austria's counts leave out the EU's own 438 International Energy Agency policy records.</w:t>
      </w:r>
      <w:r>
        <w:t xml:space="preserve"> Country Insights shows the detail.</w:t>
      </w:r>
    </w:p>
    <w:p>
      <w:pPr>
        <w:pStyle w:val="Heading2"/>
        <w:pBdr>
          <w:top w:val="single" w:sz="4" w:space="4" w:color="D1D5DB"/>
        </w:pBdr>
      </w:pPr>
      <w:r>
        <w:t>Sources</w:t>
      </w:r>
    </w:p>
    <w:p>
      <w:pPr>
        <w:pStyle w:val="ListNumber"/>
      </w:pPr>
      <w:r>
        <w:rPr>
          <w:sz w:val="17"/>
        </w:rPr>
        <w:t>Energy Security, Economic Opportunity, Strategic Index and Partnership Strength Index, paper baseline (Opportunity Security Indices pipeline); CC BY 4.0 (the paper's indices).</w:t>
      </w:r>
    </w:p>
    <w:p>
      <w:pPr>
        <w:pStyle w:val="ListNumber"/>
      </w:pPr>
      <w:r>
        <w:rPr>
          <w:sz w:val="17"/>
        </w:rPr>
        <w:t>Energy Institute, Statistical Review of World Energy 2026 (data to 2025); attribution; https://www.energyinst.org/statistical-review.</w:t>
      </w:r>
    </w:p>
    <w:p>
      <w:pPr>
        <w:pStyle w:val="ListNumber"/>
      </w:pPr>
      <w:r>
        <w:rPr>
          <w:sz w:val="17"/>
        </w:rPr>
        <w:t>U.S. Energy Information Administration, International Energy Statistics, bulk file INTL.zip: crude oil incl. lease condensate, NGPL, dry natural gas and coal production; petroleum and other liquids, dry natural gas and coal consumption, bulk file dated 2026-10-03 (oil production to 2025; gas and coal to 2024); open; https://www.eia.gov/international/data/world.</w:t>
      </w:r>
    </w:p>
    <w:p>
      <w:pPr>
        <w:pStyle w:val="ListNumber"/>
      </w:pPr>
      <w:r>
        <w:rPr>
          <w:sz w:val="17"/>
        </w:rPr>
        <w:t>United Nations, UN Comtrade Database, HS6 bilateral trade (all reporters), 2020 and 2024; reconciled by the authors (pulled 2026-10-07 to 2026-10-09); attribution; https://comtradeplus.un.org/.</w:t>
      </w:r>
    </w:p>
    <w:p>
      <w:pPr>
        <w:pStyle w:val="ListNumber"/>
      </w:pPr>
      <w:r>
        <w:rPr>
          <w:sz w:val="17"/>
        </w:rPr>
        <w:t>Growth Lab at Harvard University, The Atlas of Economic Complexity, HS92 6-digit country-product-year data (data to 2023); attribution; https://atlas.hks.harvard.edu/.</w:t>
      </w:r>
    </w:p>
    <w:p>
      <w:pPr>
        <w:pStyle w:val="ListNumber"/>
      </w:pPr>
      <w:r>
        <w:rPr>
          <w:sz w:val="17"/>
        </w:rPr>
        <w:t>United Nations, UN Comtrade Database, exports to World by reporter, 2024 (2024 data); attribution; https://comtradeplus.un.org/.</w:t>
      </w:r>
    </w:p>
    <w:p>
      <w:pPr>
        <w:pStyle w:val="ListNumber"/>
      </w:pPr>
      <w:r>
        <w:rPr>
          <w:sz w:val="17"/>
        </w:rPr>
        <w:t>Allied network design (the paper's model design of coalition production shares).</w:t>
      </w:r>
    </w:p>
    <w:p>
      <w:pPr>
        <w:pStyle w:val="ListNumber"/>
      </w:pPr>
      <w:r>
        <w:rPr>
          <w:sz w:val="17"/>
        </w:rPr>
        <w:t>Climate Action Tracker, country ratings (ratings updated 2022-2025); attribution; https://climateactiontracker.org/.</w:t>
      </w:r>
    </w:p>
    <w:p>
      <w:pPr>
        <w:pStyle w:val="ListNumber"/>
      </w:pPr>
      <w:r>
        <w:rPr>
          <w:sz w:val="17"/>
        </w:rPr>
        <w:t>International Energy Agency, Policies and Measures Database (export of 2026-09-30); attribution; https://www.iea.org/policies.</w:t>
      </w:r>
    </w:p>
    <w:p>
      <w:pPr>
        <w:pStyle w:val="ListNumber"/>
      </w:pPr>
      <w:r>
        <w:rPr>
          <w:sz w:val="17"/>
        </w:rPr>
        <w:t>Bailey, M., Strezhnev, A. and Voeten, E., United Nations General Assembly Voting Data, ideal points (Harvard Dataverse V39.0) (sessions to 2023); attribution; https://dataverse.harvard.edu/dataset.xhtml?persistentId=hdl:1902.1/12379.</w:t>
      </w:r>
    </w:p>
    <w:p>
      <w:pPr>
        <w:pBdr>
          <w:top w:val="single" w:sz="4" w:space="4" w:color="D1D5DB"/>
        </w:pBdr>
      </w:pPr>
      <w:r>
        <w:rPr>
          <w:i/>
          <w:color w:val="4B5563"/>
          <w:sz w:val="18"/>
        </w:rPr>
        <w:t>AI-generated from the data and checked against it; paper baseline as of 12 October 2026.</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4B5563"/>
        <w:sz w:val="16"/>
      </w:rPr>
      <w:t>AI-generated from the data and checked against it; paper baseline as of 12 October 2026.  Allied Industrial Base Explorer, Country Insights: Austria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1182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11182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Austria: energy security, economic opportunity and partnership priorities</dc:title>
  <dc:subject>Country Insights policy memo</dc:subject>
  <dc:creator>NEIS Center, Allied Industrial Base Explorer (AI-generated, checked against the data)</dc:creator>
  <cp:keywords>energy security; economic opportunity; Strategic Index; Partnership Strength Index; AUT</cp:keywords>
  <dc:description>paper baseline as of 12 October 2026; fact sheet sha256 01276c8e1d023d4f537fba6d9ba96fc873849b4b80d96ddc2bbf2090af11b181</dc:description>
  <cp:lastModifiedBy/>
  <cp:revision>1</cp:revision>
  <dcterms:created xsi:type="dcterms:W3CDTF">2013-12-23T23:15:00Z</dcterms:created>
  <dcterms:modified xsi:type="dcterms:W3CDTF">2013-12-23T23:15:00Z</dcterms:modified>
  <cp:category/>
</cp:coreProperties>
</file>