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Belgium: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Belgium</w:t>
            </w:r>
            <w:r>
              <w:t xml:space="preserve"> is most exposed in </w:t>
            </w:r>
            <w:r>
              <w:t>midstream batteries</w:t>
            </w:r>
            <w:r>
              <w:t xml:space="preserve">, </w:t>
            </w:r>
            <w:r>
              <w:t>upstream coal</w:t>
            </w:r>
            <w:r>
              <w:t xml:space="preserve"> and </w:t>
            </w:r>
            <w:r>
              <w:t>upstream oil</w:t>
            </w:r>
            <w:r>
              <w:t xml:space="preserve">, where its Energy Security is higher than only </w:t>
            </w:r>
            <w:r>
              <w:t>8%</w:t>
            </w:r>
            <w:r>
              <w:t xml:space="preserve">, </w:t>
            </w:r>
            <w:r>
              <w:t>19%</w:t>
            </w:r>
            <w:r>
              <w:t xml:space="preserve"> and </w:t>
            </w:r>
            <w:r>
              <w:t>20%</w:t>
            </w:r>
            <w:r>
              <w:t xml:space="preserve"> of the other economies scored. Its midstream battery sector has no recorded investment, and fuel production falls short of consumption.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upstream gas</w:t>
            </w:r>
            <w:r>
              <w:t xml:space="preserve">, </w:t>
            </w:r>
            <w:r>
              <w:t>midstream oil</w:t>
            </w:r>
            <w:r>
              <w:t xml:space="preserve"> and </w:t>
            </w:r>
            <w:r>
              <w:t>midstream gas</w:t>
            </w:r>
            <w:r>
              <w:t xml:space="preserve">, where its Economic Opportunity is higher than </w:t>
            </w:r>
            <w:r>
              <w:t>88%</w:t>
            </w:r>
            <w:r>
              <w:t xml:space="preserve">, </w:t>
            </w:r>
            <w:r>
              <w:t>87%</w:t>
            </w:r>
            <w:r>
              <w:t xml:space="preserve"> and </w:t>
            </w:r>
            <w:r>
              <w:t>86%</w:t>
            </w:r>
            <w:r>
              <w:t xml:space="preserve"> of the other economies scored, mainly on the strength of its trade.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puts </w:t>
            </w:r>
            <w:r>
              <w:t>downstream solar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Belgium</w:t>
            </w:r>
            <w:r>
              <w:t xml:space="preserve">'s own sectors, almost tied with </w:t>
            </w:r>
            <w:r>
              <w:t>upstream wind</w:t>
            </w:r>
            <w:r>
              <w:t xml:space="preserve">; current policy activity places it in the group with the </w:t>
            </w:r>
            <w:r>
              <w:t>most policy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France</w:t>
            </w:r>
            <w:r>
              <w:t xml:space="preserve"> highest for </w:t>
            </w:r>
            <w:r>
              <w:t>Belgium</w:t>
            </w:r>
            <w:r>
              <w:t xml:space="preserve">, as a </w:t>
            </w:r>
            <w:r>
              <w:t>reliable supplier</w:t>
            </w:r>
            <w:r>
              <w:t xml:space="preserve">; it is also </w:t>
            </w:r>
            <w:r>
              <w:t>Belgium</w:t>
            </w:r>
            <w:r>
              <w:t xml:space="preserve">'s </w:t>
            </w:r>
            <w:r>
              <w:t>3rd</w:t>
            </w:r>
            <w:r>
              <w:t xml:space="preserve"> trade partner, while </w:t>
            </w:r>
            <w:r>
              <w:t>China</w:t>
            </w:r>
            <w:r>
              <w:t xml:space="preserve">, its </w:t>
            </w:r>
            <w:r>
              <w:t>8th</w:t>
            </w:r>
            <w:r>
              <w:t xml:space="preserve">, ranks </w:t>
            </w:r>
            <w:r>
              <w:t>35th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9</w:t>
      </w:r>
      <w:r>
        <w:t xml:space="preserve"> of </w:t>
      </w:r>
      <w:r>
        <w:t>Belgium</w:t>
      </w:r>
      <w:r>
        <w:t xml:space="preserve">'s </w:t>
      </w:r>
      <w:r>
        <w:t>30</w:t>
      </w:r>
      <w:r>
        <w:t xml:space="preserve"> placed sectors, those where both scores can be compared with other economies, sit in the two low-energy-security corners. Compared with other economies in each sector, its Energy Security is lowest in </w:t>
      </w:r>
      <w:r>
        <w:t>midstream batteries</w:t>
      </w:r>
      <w:r>
        <w:t xml:space="preserve">, </w:t>
      </w:r>
      <w:r>
        <w:t>upstream coal</w:t>
      </w:r>
      <w:r>
        <w:t xml:space="preserve">, </w:t>
      </w:r>
      <w:r>
        <w:t>upstream oil</w:t>
      </w:r>
      <w:r>
        <w:t xml:space="preserve"> and </w:t>
      </w:r>
      <w:r>
        <w:t>downstream solar</w:t>
      </w:r>
      <w:r>
        <w:t xml:space="preserve">, all in the </w:t>
      </w:r>
      <w:r>
        <w:t>Upgrade</w:t>
      </w:r>
      <w:r>
        <w:t xml:space="preserve"> corner. It is higher than only </w:t>
      </w:r>
      <w:r>
        <w:t>8%</w:t>
      </w:r>
      <w:r>
        <w:t xml:space="preserve">, </w:t>
      </w:r>
      <w:r>
        <w:t>19%</w:t>
      </w:r>
      <w:r>
        <w:t xml:space="preserve">, </w:t>
      </w:r>
      <w:r>
        <w:t>20%</w:t>
      </w:r>
      <w:r>
        <w:t xml:space="preserve"> and </w:t>
      </w:r>
      <w:r>
        <w:t>22%</w:t>
      </w:r>
      <w:r>
        <w:t xml:space="preserve"> of the other </w:t>
      </w:r>
      <w:r>
        <w:t>53</w:t>
      </w:r>
      <w:r>
        <w:t xml:space="preserve">, </w:t>
      </w:r>
      <w:r>
        <w:t>95</w:t>
      </w:r>
      <w:r>
        <w:t xml:space="preserve">, </w:t>
      </w:r>
      <w:r>
        <w:t>96</w:t>
      </w:r>
      <w:r>
        <w:t xml:space="preserve"> and </w:t>
      </w:r>
      <w:r>
        <w:t>147</w:t>
      </w:r>
      <w:r>
        <w:t xml:space="preserve"> economies scored, with scores of </w:t>
      </w:r>
      <w:r>
        <w:t>0.29</w:t>
      </w:r>
      <w:r>
        <w:t xml:space="preserve">, </w:t>
      </w:r>
      <w:r>
        <w:t>0.26</w:t>
      </w:r>
      <w:r>
        <w:t xml:space="preserve">, </w:t>
      </w:r>
      <w:r>
        <w:t>0.37</w:t>
      </w:r>
      <w:r>
        <w:t xml:space="preserve"> and </w:t>
      </w:r>
      <w:r>
        <w:t>0.44</w:t>
      </w:r>
      <w:r>
        <w:t>. The paper's framework associates that corner, which pairs high opportunity with low energy security, with building domestic capability.</w:t>
      </w:r>
      <w:r>
        <w:rPr>
          <w:color w:val="4B5563"/>
          <w:vertAlign w:val="superscript"/>
        </w:rPr>
        <w:t>1</w:t>
      </w:r>
    </w:p>
    <w:p>
      <w:r>
        <w:t xml:space="preserve">The data mark </w:t>
      </w:r>
      <w:r>
        <w:t>downstream solar, midstream batteries and upstream batteries</w:t>
      </w:r>
      <w:r>
        <w:t xml:space="preserve"> as its high-priority sectors. In </w:t>
      </w:r>
      <w:r>
        <w:t>midstream batteries</w:t>
      </w:r>
      <w:r>
        <w:t xml:space="preserve">, the score is low mainly because of investment and trade. Its investment score is </w:t>
      </w:r>
      <w:r>
        <w:t>0.00</w:t>
      </w:r>
      <w:r>
        <w:t xml:space="preserve"> against a median of </w:t>
      </w:r>
      <w:r>
        <w:t>0.25</w:t>
      </w:r>
      <w:r>
        <w:t xml:space="preserve">: no investment or manufacturing capacity is recorded, which the index counts as zero. Its trade deficit in these goods was </w:t>
      </w:r>
      <w:r>
        <w:t>0.4% of GDP</w:t>
      </w:r>
      <w:r>
        <w:t xml:space="preserve"> in </w:t>
      </w:r>
      <w:r>
        <w:t>2023</w:t>
      </w:r>
      <w:r>
        <w:t xml:space="preserve">. In </w:t>
      </w:r>
      <w:r>
        <w:t>downstream solar</w:t>
      </w:r>
      <w:r>
        <w:t xml:space="preserve">, reserves pull the score down: on solar resource potential, </w:t>
      </w:r>
      <w:r>
        <w:t>Belgium</w:t>
      </w:r>
      <w:r>
        <w:t xml:space="preserve"> scores higher than only </w:t>
      </w:r>
      <w:r>
        <w:t>2%</w:t>
      </w:r>
      <w:r>
        <w:t xml:space="preserve"> of the other economies.</w:t>
      </w:r>
      <w:r>
        <w:rPr>
          <w:color w:val="4B5563"/>
          <w:vertAlign w:val="superscript"/>
        </w:rPr>
        <w:t>1,3</w:t>
      </w:r>
    </w:p>
    <w:p>
      <w:r>
        <w:t xml:space="preserve">In </w:t>
      </w:r>
      <w:r>
        <w:t>upstream coal</w:t>
      </w:r>
      <w:r>
        <w:t xml:space="preserve"> and </w:t>
      </w:r>
      <w:r>
        <w:t>upstream oil</w:t>
      </w:r>
      <w:r>
        <w:t xml:space="preserve">, import needs pull the score down. Production minus consumption was </w:t>
      </w:r>
      <w:r>
        <w:t>-0.121 EJ</w:t>
      </w:r>
      <w:r>
        <w:t xml:space="preserve"> for coal and </w:t>
      </w:r>
      <w:r>
        <w:t>-1.18 EJ</w:t>
      </w:r>
      <w:r>
        <w:t xml:space="preserve"> for oil in </w:t>
      </w:r>
      <w:r>
        <w:t>2025</w:t>
      </w:r>
      <w:r>
        <w:t xml:space="preserve">. Both figures take </w:t>
      </w:r>
      <w:r>
        <w:t>production from the U.S. Energy Information Administration's international statistics, as the Energy Institute does not report it separately</w:t>
      </w:r>
      <w:r>
        <w:t>. No oil reserves are recorded, which the index counts as zero.</w:t>
      </w:r>
      <w:r>
        <w:rPr>
          <w:color w:val="4B5563"/>
          <w:vertAlign w:val="superscript"/>
        </w:rPr>
        <w:t>4,5</w:t>
      </w:r>
    </w:p>
    <w:p>
      <w:r>
        <w:t xml:space="preserve">For context, its largest suppliers in </w:t>
      </w:r>
      <w:r>
        <w:t>midstream batteries</w:t>
      </w:r>
      <w:r>
        <w:t xml:space="preserve"> in </w:t>
      </w:r>
      <w:r>
        <w:t>2024</w:t>
      </w:r>
      <w:r>
        <w:t xml:space="preserve"> were </w:t>
      </w:r>
      <w:r>
        <w:t>China</w:t>
      </w:r>
      <w:r>
        <w:t xml:space="preserve"> (</w:t>
      </w:r>
      <w:r>
        <w:t>21.3%</w:t>
      </w:r>
      <w:r>
        <w:t xml:space="preserve"> of imports, which totalled </w:t>
      </w:r>
      <w:r>
        <w:t>USD 2.48 bn</w:t>
      </w:r>
      <w:r>
        <w:t xml:space="preserve">), the </w:t>
      </w:r>
      <w:r>
        <w:t>Netherlands</w:t>
      </w:r>
      <w:r>
        <w:t xml:space="preserve"> (</w:t>
      </w:r>
      <w:r>
        <w:t>15.4%</w:t>
      </w:r>
      <w:r>
        <w:t xml:space="preserve">) and </w:t>
      </w:r>
      <w:r>
        <w:t>Hungary</w:t>
      </w:r>
      <w:r>
        <w:t xml:space="preserve"> (</w:t>
      </w:r>
      <w:r>
        <w:t>15.1%</w:t>
      </w:r>
      <w:r>
        <w:t xml:space="preserve">). In </w:t>
      </w:r>
      <w:r>
        <w:t>upstream oil</w:t>
      </w:r>
      <w:r>
        <w:t xml:space="preserve">, the </w:t>
      </w:r>
      <w:r>
        <w:t>Netherlands</w:t>
      </w:r>
      <w:r>
        <w:t xml:space="preserve"> supplied </w:t>
      </w:r>
      <w:r>
        <w:t>77.3%</w:t>
      </w:r>
      <w:r>
        <w:t xml:space="preserve"> of its imports.</w:t>
      </w:r>
      <w:r>
        <w:rPr>
          <w:color w:val="4B5563"/>
          <w:vertAlign w:val="superscript"/>
        </w:rPr>
        <w:t>2</w:t>
      </w:r>
    </w:p>
    <w:p>
      <w:pPr>
        <w:pStyle w:val="Heading1"/>
      </w:pPr>
      <w:r>
        <w:t>2. Economic opportunities and why</w:t>
      </w:r>
    </w:p>
    <w:p>
      <w:r>
        <w:t>27</w:t>
      </w:r>
      <w:r>
        <w:t xml:space="preserve"> of the </w:t>
      </w:r>
      <w:r>
        <w:t>30</w:t>
      </w:r>
      <w:r>
        <w:t xml:space="preserve"> placed sectors sit in the two high-opportunity corners, where Economic Opportunity is above the sector's middle economy. Compared with other economies in each sector, its Economic Opportunity is highest in </w:t>
      </w:r>
      <w:r>
        <w:t>upstream gas</w:t>
      </w:r>
      <w:r>
        <w:t xml:space="preserve">, </w:t>
      </w:r>
      <w:r>
        <w:t>midstream oil</w:t>
      </w:r>
      <w:r>
        <w:t xml:space="preserve"> and </w:t>
      </w:r>
      <w:r>
        <w:t>midstream gas</w:t>
      </w:r>
      <w:r>
        <w:t xml:space="preserve">. It is higher than </w:t>
      </w:r>
      <w:r>
        <w:t>88%</w:t>
      </w:r>
      <w:r>
        <w:t xml:space="preserve">, </w:t>
      </w:r>
      <w:r>
        <w:t>87%</w:t>
      </w:r>
      <w:r>
        <w:t xml:space="preserve"> and </w:t>
      </w:r>
      <w:r>
        <w:t>86%</w:t>
      </w:r>
      <w:r>
        <w:t xml:space="preserve"> of the other </w:t>
      </w:r>
      <w:r>
        <w:t>97</w:t>
      </w:r>
      <w:r>
        <w:t xml:space="preserve">, </w:t>
      </w:r>
      <w:r>
        <w:t>155</w:t>
      </w:r>
      <w:r>
        <w:t xml:space="preserve"> and </w:t>
      </w:r>
      <w:r>
        <w:t>155</w:t>
      </w:r>
      <w:r>
        <w:t xml:space="preserve"> economies scored, with scores of </w:t>
      </w:r>
      <w:r>
        <w:t>0.52</w:t>
      </w:r>
      <w:r>
        <w:t xml:space="preserve">, </w:t>
      </w:r>
      <w:r>
        <w:t>0.64</w:t>
      </w:r>
      <w:r>
        <w:t xml:space="preserve"> and </w:t>
      </w:r>
      <w:r>
        <w:t>0.61</w:t>
      </w:r>
      <w:r>
        <w:t xml:space="preserve">. Of these, </w:t>
      </w:r>
      <w:r>
        <w:t>upstream gas</w:t>
      </w:r>
      <w:r>
        <w:t xml:space="preserve"> sits in the </w:t>
      </w:r>
      <w:r>
        <w:t>Upgrade</w:t>
      </w:r>
      <w:r>
        <w:t xml:space="preserve"> corner and the others in the </w:t>
      </w:r>
      <w:r>
        <w:t>Grow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Trade pushes the score up most in each of these sectors. In </w:t>
      </w:r>
      <w:r>
        <w:t>upstream gas</w:t>
      </w:r>
      <w:r>
        <w:t xml:space="preserve">, </w:t>
      </w:r>
      <w:r>
        <w:t>Belgium</w:t>
      </w:r>
      <w:r>
        <w:t xml:space="preserve"> reported exports of </w:t>
      </w:r>
      <w:r>
        <w:t>USD 9.84 bn</w:t>
      </w:r>
      <w:r>
        <w:t xml:space="preserve"> in </w:t>
      </w:r>
      <w:r>
        <w:t>2024</w:t>
      </w:r>
      <w:r>
        <w:t xml:space="preserve">, with a revealed comparative advantage of </w:t>
      </w:r>
      <w:r>
        <w:t>1.54</w:t>
      </w:r>
      <w:r>
        <w:t xml:space="preserve">. On export feasibility, which reads related capabilities, it scores higher than </w:t>
      </w:r>
      <w:r>
        <w:t>99%</w:t>
      </w:r>
      <w:r>
        <w:t xml:space="preserve"> of the other economies. For context, on the reconciled trade data, </w:t>
      </w:r>
      <w:r>
        <w:t>France</w:t>
      </w:r>
      <w:r>
        <w:t xml:space="preserve"> took </w:t>
      </w:r>
      <w:r>
        <w:t>95.4%</w:t>
      </w:r>
      <w:r>
        <w:t xml:space="preserve"> of its exports in this sector in </w:t>
      </w:r>
      <w:r>
        <w:t>2024</w:t>
      </w:r>
      <w:r>
        <w:t>.</w:t>
      </w:r>
      <w:r>
        <w:rPr>
          <w:color w:val="4B5563"/>
          <w:vertAlign w:val="superscript"/>
        </w:rPr>
        <w:t>1,2,6</w:t>
      </w:r>
    </w:p>
    <w:p>
      <w:r>
        <w:t xml:space="preserve">In </w:t>
      </w:r>
      <w:r>
        <w:t>midstream oil</w:t>
      </w:r>
      <w:r>
        <w:t xml:space="preserve"> and </w:t>
      </w:r>
      <w:r>
        <w:t>midstream gas</w:t>
      </w:r>
      <w:r>
        <w:t xml:space="preserve">, trade and cost competitiveness push the score up. </w:t>
      </w:r>
      <w:r>
        <w:t>Belgium</w:t>
      </w:r>
      <w:r>
        <w:t xml:space="preserve"> reported exports of </w:t>
      </w:r>
      <w:r>
        <w:t>USD 1.78 bn</w:t>
      </w:r>
      <w:r>
        <w:t xml:space="preserve"> and </w:t>
      </w:r>
      <w:r>
        <w:t>USD 1.8 bn</w:t>
      </w:r>
      <w:r>
        <w:t xml:space="preserve"> in </w:t>
      </w:r>
      <w:r>
        <w:t>2024</w:t>
      </w:r>
      <w:r>
        <w:t xml:space="preserve">. On input costs of labour and capital, </w:t>
      </w:r>
      <w:r>
        <w:t>Belgium</w:t>
      </w:r>
      <w:r>
        <w:t xml:space="preserve"> scores higher than </w:t>
      </w:r>
      <w:r>
        <w:t>66%</w:t>
      </w:r>
      <w:r>
        <w:t xml:space="preserve"> of the other economies in each.</w:t>
      </w:r>
      <w:r>
        <w:rPr>
          <w:color w:val="4B5563"/>
          <w:vertAlign w:val="superscript"/>
        </w:rPr>
        <w:t>1,6</w:t>
      </w:r>
    </w:p>
    <w:p>
      <w:r>
        <w:t xml:space="preserve">Among the high-priority sectors, </w:t>
      </w:r>
      <w:r>
        <w:t>downstream solar</w:t>
      </w:r>
      <w:r>
        <w:t xml:space="preserve"> has Economic Opportunity higher than </w:t>
      </w:r>
      <w:r>
        <w:t>80%</w:t>
      </w:r>
      <w:r>
        <w:t xml:space="preserve"> of the other </w:t>
      </w:r>
      <w:r>
        <w:t>147</w:t>
      </w:r>
      <w:r>
        <w:t xml:space="preserve"> economies scored. Cost competitiveness and investment push it up: on annual investment it scores higher than </w:t>
      </w:r>
      <w:r>
        <w:t>81%</w:t>
      </w:r>
      <w:r>
        <w:t xml:space="preserve"> of the other economies.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combining opportunity, security need, policy activity, the supply-chain stage and the technology's low-emission value. On the paper's weighting, it puts </w:t>
      </w:r>
      <w:r>
        <w:t>downstream solar</w:t>
      </w:r>
      <w:r>
        <w:t xml:space="preserve"> </w:t>
      </w:r>
      <w:r>
        <w:t>1st</w:t>
      </w:r>
      <w:r>
        <w:t xml:space="preserve">, </w:t>
      </w:r>
      <w:r>
        <w:t>upstream wind</w:t>
      </w:r>
      <w:r>
        <w:t xml:space="preserve"> </w:t>
      </w:r>
      <w:r>
        <w:t>2nd</w:t>
      </w:r>
      <w:r>
        <w:t xml:space="preserve">, </w:t>
      </w:r>
      <w:r>
        <w:t>upstream nuclear</w:t>
      </w:r>
      <w:r>
        <w:t xml:space="preserve"> </w:t>
      </w:r>
      <w:r>
        <w:t>3rd</w:t>
      </w:r>
      <w:r>
        <w:t xml:space="preserve">, </w:t>
      </w:r>
      <w:r>
        <w:t>upstream solar</w:t>
      </w:r>
      <w:r>
        <w:t xml:space="preserve"> </w:t>
      </w:r>
      <w:r>
        <w:t>4th</w:t>
      </w:r>
      <w:r>
        <w:t xml:space="preserve"> and </w:t>
      </w:r>
      <w:r>
        <w:t>midstream batteries</w:t>
      </w:r>
      <w:r>
        <w:t xml:space="preserve"> </w:t>
      </w:r>
      <w:r>
        <w:t>5th</w:t>
      </w:r>
      <w:r>
        <w:t xml:space="preserve"> among </w:t>
      </w:r>
      <w:r>
        <w:t>Belgium</w:t>
      </w:r>
      <w:r>
        <w:t xml:space="preserve">'s own sectors. The leader, </w:t>
      </w:r>
      <w:r>
        <w:t>downstream solar</w:t>
      </w:r>
      <w:r>
        <w:t xml:space="preserve">, scores </w:t>
      </w:r>
      <w:r>
        <w:t>0.66</w:t>
      </w:r>
      <w:r>
        <w:t xml:space="preserve">, only </w:t>
      </w:r>
      <w:r>
        <w:t>0.002</w:t>
      </w:r>
      <w:r>
        <w:t xml:space="preserve"> ahead of the next, so they are almost tied; the next gaps, </w:t>
      </w:r>
      <w:r>
        <w:t>0.006</w:t>
      </w:r>
      <w:r>
        <w:t xml:space="preserve"> and </w:t>
      </w:r>
      <w:r>
        <w:t>0.004</w:t>
      </w:r>
      <w:r>
        <w:t xml:space="preserve">, also count as almost tied. Its policy term adds </w:t>
      </w:r>
      <w:r>
        <w:t>0.200</w:t>
      </w:r>
      <w:r>
        <w:t xml:space="preserve">; without that term it falls into the </w:t>
      </w:r>
      <w:r>
        <w:t>middle third</w:t>
      </w:r>
      <w:r>
        <w:t xml:space="preserve"> of sectors.</w:t>
      </w:r>
      <w:r>
        <w:rPr>
          <w:color w:val="4B5563"/>
          <w:vertAlign w:val="superscript"/>
        </w:rPr>
        <w:t>1</w:t>
      </w:r>
    </w:p>
    <w:p>
      <w:r>
        <w:t xml:space="preserve">The allied pick, the leading upstream or midstream sector after a screen for a resource base, is </w:t>
      </w:r>
      <w:r>
        <w:t>midstream batteries</w:t>
      </w:r>
      <w:r>
        <w:t xml:space="preserve"> (</w:t>
      </w:r>
      <w:r>
        <w:t>0.63</w:t>
      </w:r>
      <w:r>
        <w:t xml:space="preserve">), </w:t>
      </w:r>
      <w:r>
        <w:t>0.014</w:t>
      </w:r>
      <w:r>
        <w:t xml:space="preserve"> ahead of </w:t>
      </w:r>
      <w:r>
        <w:t>midstream solar</w:t>
      </w:r>
      <w:r>
        <w:t xml:space="preserve">. The screen leaves out </w:t>
      </w:r>
      <w:r>
        <w:t>upstream wind</w:t>
      </w:r>
      <w:r>
        <w:t xml:space="preserve">, </w:t>
      </w:r>
      <w:r>
        <w:t>upstream nuclear</w:t>
      </w:r>
      <w:r>
        <w:t xml:space="preserve"> and </w:t>
      </w:r>
      <w:r>
        <w:t>upstream solar</w:t>
      </w:r>
      <w:r>
        <w:t xml:space="preserve"> because no resource base is recorded for them.</w:t>
      </w:r>
      <w:r>
        <w:rPr>
          <w:color w:val="4B5563"/>
          <w:vertAlign w:val="superscript"/>
        </w:rPr>
        <w:t>7</w:t>
      </w:r>
    </w:p>
    <w:p>
      <w:r>
        <w:t xml:space="preserve">Comparing priority, the index without its policy term, with policy activity, </w:t>
      </w:r>
      <w:r>
        <w:t>upstream solar, upstream wind and midstream batteries</w:t>
      </w:r>
      <w:r>
        <w:t xml:space="preserve"> combine top priority with the most policy. No top-priority sector falls in the group with the least policy, and no bottom-priority sector in the group with the most. The sectors with bottom priority and the least policy are </w:t>
      </w:r>
      <w:r>
        <w:t>upstream oil, midstream gas, upstream coal, midstream coal, midstream oil, downstream oil and downstream coal</w:t>
      </w:r>
      <w:r>
        <w:t xml:space="preserve">. </w:t>
      </w:r>
      <w:r>
        <w:t>Belgium</w:t>
      </w:r>
      <w:r>
        <w:t xml:space="preserve"> carries the Climate Action Tracker rating </w:t>
      </w:r>
      <w:r>
        <w:t>Insufficient</w:t>
      </w:r>
      <w:r>
        <w:t xml:space="preserve"> (</w:t>
      </w:r>
      <w:r>
        <w:t>November 2024</w:t>
      </w:r>
      <w:r>
        <w:t xml:space="preserve">) and has </w:t>
      </w:r>
      <w:r>
        <w:t>187</w:t>
      </w:r>
      <w:r>
        <w:t xml:space="preserve"> records in the International Energy Agency's Policies and Measures database, </w:t>
      </w:r>
      <w:r>
        <w:t>98</w:t>
      </w:r>
      <w:r>
        <w:t xml:space="preserve"> of which name a technology.</w:t>
      </w:r>
      <w:r>
        <w:rPr>
          <w:color w:val="4B5563"/>
          <w:vertAlign w:val="superscript"/>
        </w:rPr>
        <w:t>1,8,9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as suppliers (Friendshore), as markets for exports (Partnership Opportunity) and, for middle- and lower-income partners, by Development Potential. From </w:t>
      </w:r>
      <w:r>
        <w:t>Belgium</w:t>
      </w:r>
      <w:r>
        <w:t xml:space="preserve">'s viewpoint it ranks </w:t>
      </w:r>
      <w:r>
        <w:t>France</w:t>
      </w:r>
      <w:r>
        <w:t xml:space="preserve"> </w:t>
      </w:r>
      <w:r>
        <w:t>1st</w:t>
      </w:r>
      <w:r>
        <w:t xml:space="preserve">, </w:t>
      </w:r>
      <w:r>
        <w:t>Italy</w:t>
      </w:r>
      <w:r>
        <w:t xml:space="preserve"> </w:t>
      </w:r>
      <w:r>
        <w:t>2nd</w:t>
      </w:r>
      <w:r>
        <w:t xml:space="preserve">, the </w:t>
      </w:r>
      <w:r>
        <w:t>United Kingdom</w:t>
      </w:r>
      <w:r>
        <w:t xml:space="preserve"> </w:t>
      </w:r>
      <w:r>
        <w:t>3rd</w:t>
      </w:r>
      <w:r>
        <w:t xml:space="preserve">, the </w:t>
      </w:r>
      <w:r>
        <w:t>Netherlands</w:t>
      </w:r>
      <w:r>
        <w:t xml:space="preserve"> </w:t>
      </w:r>
      <w:r>
        <w:t>4th</w:t>
      </w:r>
      <w:r>
        <w:t xml:space="preserve"> and </w:t>
      </w:r>
      <w:r>
        <w:t>Spain</w:t>
      </w:r>
      <w:r>
        <w:t xml:space="preserve"> </w:t>
      </w:r>
      <w:r>
        <w:t>5th</w:t>
      </w:r>
      <w:r>
        <w:t xml:space="preserve"> of </w:t>
      </w:r>
      <w:r>
        <w:t>193</w:t>
      </w:r>
      <w:r>
        <w:t xml:space="preserve"> partners. </w:t>
      </w:r>
      <w:r>
        <w:t>France</w:t>
      </w:r>
      <w:r>
        <w:t xml:space="preserve"> and </w:t>
      </w:r>
      <w:r>
        <w:t>Italy</w:t>
      </w:r>
      <w:r>
        <w:t xml:space="preserve"> stand out most as a </w:t>
      </w:r>
      <w:r>
        <w:t>reliable supplier</w:t>
      </w:r>
      <w:r>
        <w:t xml:space="preserve">; </w:t>
      </w:r>
      <w:r>
        <w:t>Italy</w:t>
      </w:r>
      <w:r>
        <w:t xml:space="preserve">'s best sectors as a supplier are </w:t>
      </w:r>
      <w:r>
        <w:t>downstream solar, downstream batteries, midstream nuclear, upstream wind and upstream batteries</w:t>
      </w:r>
      <w:r>
        <w:t xml:space="preserve">. The </w:t>
      </w:r>
      <w:r>
        <w:t>United Kingdom</w:t>
      </w:r>
      <w:r>
        <w:t xml:space="preserve">, the </w:t>
      </w:r>
      <w:r>
        <w:t>Netherlands</w:t>
      </w:r>
      <w:r>
        <w:t xml:space="preserve"> and </w:t>
      </w:r>
      <w:r>
        <w:t>Spain</w:t>
      </w:r>
      <w:r>
        <w:t xml:space="preserve"> stand out most as an </w:t>
      </w:r>
      <w:r>
        <w:t>export market</w:t>
      </w:r>
      <w:r>
        <w:t xml:space="preserve">; the </w:t>
      </w:r>
      <w:r>
        <w:t>Netherlands</w:t>
      </w:r>
      <w:r>
        <w:t xml:space="preserve">' best sectors as a market are </w:t>
      </w:r>
      <w:r>
        <w:t>midstream wind, upstream coal, upstream electric vehicles, midstream batteries and upstream batteries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These priorities match today's ties. The </w:t>
      </w:r>
      <w:r>
        <w:t>Netherlands</w:t>
      </w:r>
      <w:r>
        <w:t xml:space="preserve"> is </w:t>
      </w:r>
      <w:r>
        <w:t>Belgium</w:t>
      </w:r>
      <w:r>
        <w:t xml:space="preserve">'s </w:t>
      </w:r>
      <w:r>
        <w:t>1st</w:t>
      </w:r>
      <w:r>
        <w:t xml:space="preserve"> trade partner on average across its energy-goods baskets, </w:t>
      </w:r>
      <w:r>
        <w:t>France</w:t>
      </w:r>
      <w:r>
        <w:t xml:space="preserve"> its </w:t>
      </w:r>
      <w:r>
        <w:t>3rd</w:t>
      </w:r>
      <w:r>
        <w:t xml:space="preserve">, </w:t>
      </w:r>
      <w:r>
        <w:t>Italy</w:t>
      </w:r>
      <w:r>
        <w:t xml:space="preserve"> its </w:t>
      </w:r>
      <w:r>
        <w:t>4th</w:t>
      </w:r>
      <w:r>
        <w:t xml:space="preserve">, </w:t>
      </w:r>
      <w:r>
        <w:t>Spain</w:t>
      </w:r>
      <w:r>
        <w:t xml:space="preserve"> its </w:t>
      </w:r>
      <w:r>
        <w:t>6th</w:t>
      </w:r>
      <w:r>
        <w:t xml:space="preserve"> and the </w:t>
      </w:r>
      <w:r>
        <w:t>United Kingdom</w:t>
      </w:r>
      <w:r>
        <w:t xml:space="preserve"> its </w:t>
      </w:r>
      <w:r>
        <w:t>7th</w:t>
      </w:r>
      <w:r>
        <w:t xml:space="preserve">. Each is </w:t>
      </w:r>
      <w:r>
        <w:t>a priority partner with strong ties today</w:t>
      </w:r>
      <w:r>
        <w:t xml:space="preserve">, shares membership of </w:t>
      </w:r>
      <w:r>
        <w:t>NATO</w:t>
      </w:r>
      <w:r>
        <w:t xml:space="preserve"> with </w:t>
      </w:r>
      <w:r>
        <w:t>Belgium</w:t>
      </w:r>
      <w:r>
        <w:t xml:space="preserve"> and votes in the </w:t>
      </w:r>
      <w:r>
        <w:t>same bloc</w:t>
      </w:r>
      <w:r>
        <w:t xml:space="preserve"> as </w:t>
      </w:r>
      <w:r>
        <w:t>Belgium</w:t>
      </w:r>
      <w:r>
        <w:t xml:space="preserve"> at the UN. </w:t>
      </w:r>
      <w:r>
        <w:t>Germany</w:t>
      </w:r>
      <w:r>
        <w:t xml:space="preserve">, its </w:t>
      </w:r>
      <w:r>
        <w:t>2nd</w:t>
      </w:r>
      <w:r>
        <w:t xml:space="preserve"> trade partner, ranks </w:t>
      </w:r>
      <w:r>
        <w:t>6th</w:t>
      </w:r>
      <w:r>
        <w:t xml:space="preserve"> on Partnership Strength. By contrast, </w:t>
      </w:r>
      <w:r>
        <w:t>China</w:t>
      </w:r>
      <w:r>
        <w:t xml:space="preserve"> is its </w:t>
      </w:r>
      <w:r>
        <w:t>8th</w:t>
      </w:r>
      <w:r>
        <w:t xml:space="preserve"> trade partner but ranks </w:t>
      </w:r>
      <w:r>
        <w:t>35th</w:t>
      </w:r>
      <w:r>
        <w:t xml:space="preserve">, and they vote in </w:t>
      </w:r>
      <w:r>
        <w:t>opposite blocs</w:t>
      </w:r>
      <w:r>
        <w:t xml:space="preserve"> at the UN.</w:t>
      </w:r>
      <w:r>
        <w:rPr>
          <w:color w:val="4B5563"/>
          <w:vertAlign w:val="superscript"/>
        </w:rPr>
        <w:t>1,2,10,11</w:t>
      </w:r>
    </w:p>
    <w:p>
      <w:r>
        <w:t xml:space="preserve">As a partner to the coalition, </w:t>
      </w:r>
      <w:r>
        <w:t>Belgium</w:t>
      </w:r>
      <w:r>
        <w:t xml:space="preserve"> ranks </w:t>
      </w:r>
      <w:r>
        <w:t>8th</w:t>
      </w:r>
      <w:r>
        <w:t xml:space="preserve"> of </w:t>
      </w:r>
      <w:r>
        <w:t>192</w:t>
      </w:r>
      <w:r>
        <w:t xml:space="preserve"> economies, on Partnership Strength averaged over the core members' viewpoints. In the allied network design, which spreads production of each upstream and midstream sector across coalition members, its largest designed share is </w:t>
      </w:r>
      <w:r>
        <w:t>0.7%</w:t>
      </w:r>
      <w:r>
        <w:t xml:space="preserve"> of </w:t>
      </w:r>
      <w:r>
        <w:t>midstream green hydrogen</w:t>
      </w:r>
      <w:r>
        <w:t>.</w:t>
      </w:r>
      <w:r>
        <w:rPr>
          <w:color w:val="4B5563"/>
          <w:vertAlign w:val="superscript"/>
        </w:rPr>
        <w:t>1,7</w:t>
      </w:r>
    </w:p>
    <w:p>
      <w:pPr>
        <w:pStyle w:val="Heading1"/>
      </w:pPr>
      <w:r>
        <w:t>5. Data notes and caveats</w:t>
      </w:r>
    </w:p>
    <w:p>
      <w:r>
        <w:t xml:space="preserve">Country Insights shows these values as of </w:t>
      </w:r>
      <w:r>
        <w:t>12 October 2026</w:t>
      </w:r>
      <w:r>
        <w:t xml:space="preserve">. </w:t>
      </w:r>
      <w:r>
        <w:t>Scores compare Belgium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Some figures behind these scores are filled in where the source has no value: with zero where a source lists every holder, otherwise with the world average.</w:t>
      </w:r>
      <w:r>
        <w:t xml:space="preserve"> </w:t>
      </w:r>
      <w:r>
        <w:t>Many allied picks are close calls: in the paper, 37% of them are within 0.01 of the runner-up.</w:t>
      </w:r>
      <w:r>
        <w:t xml:space="preserve"> </w:t>
      </w:r>
      <w:r>
        <w:t>In the allied network design the European Union is one producer; Belgium's shares are derived from its weight within the EU.</w:t>
      </w:r>
      <w:r>
        <w:t xml:space="preserve"> </w:t>
      </w:r>
      <w:r>
        <w:t>The Climate Action Tracker rates the EU as a whole; Belgium carries the EU's rating.</w:t>
      </w:r>
      <w:r>
        <w:t xml:space="preserve"> </w:t>
      </w:r>
      <w:r>
        <w:t>Belgium's counts leave out the EU's own 438 International Energy Agency policy records.</w:t>
      </w:r>
      <w:r>
        <w:t xml:space="preserve"> </w:t>
      </w: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Belgium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Belgium: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BEL</cp:keywords>
  <dc:description>paper baseline as of 12 October 2026; fact sheet sha256 470398734f75fdb2c192cf604bc5e41c445afcaffcdefcb20a5491f0fbac5e07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