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Bulgaria: energy security, economic opportunity and partnership priorities</w:t>
      </w:r>
    </w:p>
    <w:p>
      <w:r>
        <w:rPr>
          <w:color w:val="4B5563"/>
          <w:sz w:val="18"/>
        </w:rPr>
        <w:t>Policy memo · Country Insights · Allied Industrial Base Explorer · NEIS Center</w:t>
      </w:r>
    </w:p>
    <w:p>
      <w:pPr>
        <w:pBdr>
          <w:top w:val="single" w:sz="4" w:space="4" w:color="D1D5DB"/>
        </w:pBdr>
      </w:pPr>
      <w:r>
        <w:rPr>
          <w:i/>
          <w:color w:val="4B5563"/>
          <w:sz w:val="19"/>
        </w:rPr>
        <w:t>AI-generated from the data and checked against it; paper baseline as of 12 October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3F4F6"/>
            <w:tcBorders>
              <w:top w:val="nil"/>
              <w:left w:val="single" w:sz="24" w:space="0" w:color="F58229"/>
              <w:bottom w:val="nil"/>
              <w:right w:val="nil"/>
            </w:tcBorders>
            <w:tcMar>
              <w:top w:w="120" w:type="dxa"/>
              <w:left w:w="200" w:type="dxa"/>
              <w:bottom w:w="80" w:type="dxa"/>
              <w:right w:w="160" w:type="dxa"/>
            </w:tcMar>
          </w:tcPr>
          <w:p>
            <w:r>
              <w:rPr>
                <w:b/>
                <w:sz w:val="24"/>
              </w:rPr>
              <w:t>Summary</w:t>
            </w:r>
          </w:p>
          <w:p>
            <w:pPr>
              <w:pStyle w:val="ListBullet"/>
            </w:pPr>
            <w:r>
              <w:t>Bulgaria</w:t>
            </w:r>
            <w:r>
              <w:t xml:space="preserve"> is most exposed in </w:t>
            </w:r>
            <w:r>
              <w:t>upstream gas</w:t>
            </w:r>
            <w:r>
              <w:t xml:space="preserve">, </w:t>
            </w:r>
            <w:r>
              <w:t>downstream wind</w:t>
            </w:r>
            <w:r>
              <w:t xml:space="preserve"> and </w:t>
            </w:r>
            <w:r>
              <w:t>upstream electric vehicles</w:t>
            </w:r>
            <w:r>
              <w:t xml:space="preserve">, with Energy Security higher than only </w:t>
            </w:r>
            <w:r>
              <w:t>10%</w:t>
            </w:r>
            <w:r>
              <w:t xml:space="preserve">, </w:t>
            </w:r>
            <w:r>
              <w:t>16%</w:t>
            </w:r>
            <w:r>
              <w:t xml:space="preserve"> and </w:t>
            </w:r>
            <w:r>
              <w:t>29%</w:t>
            </w:r>
            <w:r>
              <w:t xml:space="preserve"> of the other economies scored. In </w:t>
            </w:r>
            <w:r>
              <w:t>upstream gas</w:t>
            </w:r>
            <w:r>
              <w:t>, unrecorded reserves and a trade deficit pull it down.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 xml:space="preserve">Its strongest openings are in </w:t>
            </w:r>
            <w:r>
              <w:t>downstream batteries</w:t>
            </w:r>
            <w:r>
              <w:t xml:space="preserve">, </w:t>
            </w:r>
            <w:r>
              <w:t>upstream electric grid</w:t>
            </w:r>
            <w:r>
              <w:t xml:space="preserve"> and </w:t>
            </w:r>
            <w:r>
              <w:t>downstream solar</w:t>
            </w:r>
            <w:r>
              <w:t xml:space="preserve">, with Economic Opportunity higher than </w:t>
            </w:r>
            <w:r>
              <w:t>96%</w:t>
            </w:r>
            <w:r>
              <w:t xml:space="preserve">, </w:t>
            </w:r>
            <w:r>
              <w:t>92%</w:t>
            </w:r>
            <w:r>
              <w:t xml:space="preserve"> and </w:t>
            </w:r>
            <w:r>
              <w:t>88%</w:t>
            </w:r>
            <w:r>
              <w:t xml:space="preserve"> of the other economies scored; investment or trade lifts each.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 xml:space="preserve">On the paper's weighting, its top Strategic Index sectors are </w:t>
            </w:r>
            <w:r>
              <w:t>upstream batteries</w:t>
            </w:r>
            <w:r>
              <w:t xml:space="preserve">, </w:t>
            </w:r>
            <w:r>
              <w:t>midstream batteries</w:t>
            </w:r>
            <w:r>
              <w:t xml:space="preserve"> and </w:t>
            </w:r>
            <w:r>
              <w:t>upstream solar</w:t>
            </w:r>
            <w:r>
              <w:t xml:space="preserve">, almost tied. In </w:t>
            </w:r>
            <w:r>
              <w:t>upstream batteries, midstream batteries, midstream electric grid and midstream solar</w:t>
            </w:r>
            <w:r>
              <w:t>, top priority meets the most policy.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 xml:space="preserve">The Partnership Strength Index rates </w:t>
            </w:r>
            <w:r>
              <w:t>Italy</w:t>
            </w:r>
            <w:r>
              <w:t xml:space="preserve"> highest, then </w:t>
            </w:r>
            <w:r>
              <w:t>Germany</w:t>
            </w:r>
            <w:r>
              <w:t xml:space="preserve">. They are also its </w:t>
            </w:r>
            <w:r>
              <w:t>3rd</w:t>
            </w:r>
            <w:r>
              <w:t xml:space="preserve"> and </w:t>
            </w:r>
            <w:r>
              <w:t>1st</w:t>
            </w:r>
            <w:r>
              <w:t xml:space="preserve"> trade partners. </w:t>
            </w:r>
            <w:r>
              <w:t>China</w:t>
            </w:r>
            <w:r>
              <w:t xml:space="preserve"> and </w:t>
            </w:r>
            <w:r>
              <w:t>Turkiye</w:t>
            </w:r>
            <w:r>
              <w:t xml:space="preserve"> are each </w:t>
            </w:r>
            <w:r>
              <w:t>a strong tie today that the index ranks lower</w:t>
            </w:r>
            <w:r>
              <w:t>.</w:t>
            </w:r>
            <w:r>
              <w:rPr>
                <w:color w:val="4B5563"/>
                <w:vertAlign w:val="superscript"/>
              </w:rPr>
              <w:t>1,2</w:t>
            </w:r>
          </w:p>
        </w:tc>
      </w:tr>
    </w:tbl>
    <w:p/>
    <w:p>
      <w:pPr>
        <w:pStyle w:val="Heading1"/>
      </w:pPr>
      <w:r>
        <w:t>1. Energy security risks and why</w:t>
      </w:r>
    </w:p>
    <w:p>
      <w:r>
        <w:t>10</w:t>
      </w:r>
      <w:r>
        <w:t xml:space="preserve"> of </w:t>
      </w:r>
      <w:r>
        <w:t>Bulgaria</w:t>
      </w:r>
      <w:r>
        <w:t xml:space="preserve">'s </w:t>
      </w:r>
      <w:r>
        <w:t>29</w:t>
      </w:r>
      <w:r>
        <w:t xml:space="preserve"> placed sectors, those whose scores can be compared with other economies, sit in the two low-energy-security corners. Energy Security measures how well a country can rely on what it needs in a sector. Compared with other economies, its Energy Security is lowest in </w:t>
      </w:r>
      <w:r>
        <w:t>upstream gas</w:t>
      </w:r>
      <w:r>
        <w:t xml:space="preserve">, </w:t>
      </w:r>
      <w:r>
        <w:t>downstream wind</w:t>
      </w:r>
      <w:r>
        <w:t xml:space="preserve">, </w:t>
      </w:r>
      <w:r>
        <w:t>upstream electric vehicles</w:t>
      </w:r>
      <w:r>
        <w:t xml:space="preserve"> and </w:t>
      </w:r>
      <w:r>
        <w:t>upstream batteries</w:t>
      </w:r>
      <w:r>
        <w:t xml:space="preserve">. Its scores there are higher than only </w:t>
      </w:r>
      <w:r>
        <w:t>10%</w:t>
      </w:r>
      <w:r>
        <w:t xml:space="preserve">, </w:t>
      </w:r>
      <w:r>
        <w:t>16%</w:t>
      </w:r>
      <w:r>
        <w:t xml:space="preserve">, </w:t>
      </w:r>
      <w:r>
        <w:t>29%</w:t>
      </w:r>
      <w:r>
        <w:t xml:space="preserve"> and </w:t>
      </w:r>
      <w:r>
        <w:t>32%</w:t>
      </w:r>
      <w:r>
        <w:t xml:space="preserve"> of the other </w:t>
      </w:r>
      <w:r>
        <w:t>97</w:t>
      </w:r>
      <w:r>
        <w:t xml:space="preserve">, </w:t>
      </w:r>
      <w:r>
        <w:t>92</w:t>
      </w:r>
      <w:r>
        <w:t xml:space="preserve">, </w:t>
      </w:r>
      <w:r>
        <w:t>93</w:t>
      </w:r>
      <w:r>
        <w:t xml:space="preserve"> and </w:t>
      </w:r>
      <w:r>
        <w:t>76</w:t>
      </w:r>
      <w:r>
        <w:t xml:space="preserve"> economies scored, and all sit in the </w:t>
      </w:r>
      <w:r>
        <w:t>Secure</w:t>
      </w:r>
      <w:r>
        <w:t xml:space="preserve"> corner.</w:t>
      </w:r>
      <w:r>
        <w:rPr>
          <w:color w:val="4B5563"/>
          <w:vertAlign w:val="superscript"/>
        </w:rPr>
        <w:t>1</w:t>
      </w:r>
    </w:p>
    <w:p>
      <w:r>
        <w:t xml:space="preserve">The data's high-priority sectors are its </w:t>
      </w:r>
      <w:r>
        <w:t>Upgrade</w:t>
      </w:r>
      <w:r>
        <w:t xml:space="preserve"> sectors, </w:t>
      </w:r>
      <w:r>
        <w:t>upstream oil and midstream coal</w:t>
      </w:r>
      <w:r>
        <w:t xml:space="preserve">. In </w:t>
      </w:r>
      <w:r>
        <w:t>upstream oil</w:t>
      </w:r>
      <w:r>
        <w:t xml:space="preserve"> the score is </w:t>
      </w:r>
      <w:r>
        <w:t>0.40</w:t>
      </w:r>
      <w:r>
        <w:t xml:space="preserve">, and the </w:t>
      </w:r>
      <w:r>
        <w:t>reserves</w:t>
      </w:r>
      <w:r>
        <w:t xml:space="preserve"> and trade categories pull it down. No oil reserves are recorded, which the index counts as zero, and the trade deficit in these goods was </w:t>
      </w:r>
      <w:r>
        <w:t>1.4% of GDP</w:t>
      </w:r>
      <w:r>
        <w:t xml:space="preserve"> in </w:t>
      </w:r>
      <w:r>
        <w:t>2023</w:t>
      </w:r>
      <w:r>
        <w:t xml:space="preserve">. For context, of its </w:t>
      </w:r>
      <w:r>
        <w:t>USD 5.05 bn</w:t>
      </w:r>
      <w:r>
        <w:t xml:space="preserve"> of imports of these goods in </w:t>
      </w:r>
      <w:r>
        <w:t>2024</w:t>
      </w:r>
      <w:r>
        <w:t xml:space="preserve">, </w:t>
      </w:r>
      <w:r>
        <w:t>Kazakhstan</w:t>
      </w:r>
      <w:r>
        <w:t xml:space="preserve"> supplied </w:t>
      </w:r>
      <w:r>
        <w:t>29.4%</w:t>
      </w:r>
      <w:r>
        <w:t xml:space="preserve">, </w:t>
      </w:r>
      <w:r>
        <w:t>Iraq</w:t>
      </w:r>
      <w:r>
        <w:t xml:space="preserve"> </w:t>
      </w:r>
      <w:r>
        <w:t>14.0%</w:t>
      </w:r>
      <w:r>
        <w:t xml:space="preserve"> and </w:t>
      </w:r>
      <w:r>
        <w:t>Saudi Arabia</w:t>
      </w:r>
      <w:r>
        <w:t xml:space="preserve"> </w:t>
      </w:r>
      <w:r>
        <w:t>10.7%</w:t>
      </w:r>
      <w:r>
        <w:t xml:space="preserve">. In </w:t>
      </w:r>
      <w:r>
        <w:t>midstream coal</w:t>
      </w:r>
      <w:r>
        <w:t xml:space="preserve">, trade pulls the score down: the deficit was </w:t>
      </w:r>
      <w:r>
        <w:t>&lt;0.1% of GDP</w:t>
      </w:r>
      <w:r>
        <w:t xml:space="preserve"> in </w:t>
      </w:r>
      <w:r>
        <w:t>2023</w:t>
      </w:r>
      <w:r>
        <w:t xml:space="preserve">, a measure on which it scores higher than only </w:t>
      </w:r>
      <w:r>
        <w:t>18%</w:t>
      </w:r>
      <w:r>
        <w:t xml:space="preserve"> of the other economies. For context, </w:t>
      </w:r>
      <w:r>
        <w:t>Poland</w:t>
      </w:r>
      <w:r>
        <w:t xml:space="preserve"> supplied </w:t>
      </w:r>
      <w:r>
        <w:t>49.5%</w:t>
      </w:r>
      <w:r>
        <w:t xml:space="preserve"> of its imports of these goods.</w:t>
      </w:r>
      <w:r>
        <w:rPr>
          <w:color w:val="4B5563"/>
          <w:vertAlign w:val="superscript"/>
        </w:rPr>
        <w:t>1,2,3</w:t>
      </w:r>
    </w:p>
    <w:p>
      <w:r>
        <w:t xml:space="preserve">In </w:t>
      </w:r>
      <w:r>
        <w:t>upstream gas</w:t>
      </w:r>
      <w:r>
        <w:t xml:space="preserve">, the same categories pull the score down: no gas reserves are recorded, and the trade deficit was </w:t>
      </w:r>
      <w:r>
        <w:t>1.5% of GDP</w:t>
      </w:r>
      <w:r>
        <w:t xml:space="preserve"> in </w:t>
      </w:r>
      <w:r>
        <w:t>2023</w:t>
      </w:r>
      <w:r>
        <w:t xml:space="preserve">. For context, its largest suppliers were </w:t>
      </w:r>
      <w:r>
        <w:t>Azerbaijan</w:t>
      </w:r>
      <w:r>
        <w:t xml:space="preserve"> (</w:t>
      </w:r>
      <w:r>
        <w:t>28.6%</w:t>
      </w:r>
      <w:r>
        <w:t xml:space="preserve">), </w:t>
      </w:r>
      <w:r>
        <w:t>Turkiye</w:t>
      </w:r>
      <w:r>
        <w:t xml:space="preserve"> (</w:t>
      </w:r>
      <w:r>
        <w:t>16.8%</w:t>
      </w:r>
      <w:r>
        <w:t xml:space="preserve">) and </w:t>
      </w:r>
      <w:r>
        <w:t>Russia</w:t>
      </w:r>
      <w:r>
        <w:t xml:space="preserve"> (</w:t>
      </w:r>
      <w:r>
        <w:t>15.4%</w:t>
      </w:r>
      <w:r>
        <w:t xml:space="preserve">). In </w:t>
      </w:r>
      <w:r>
        <w:t>downstream wind</w:t>
      </w:r>
      <w:r>
        <w:t xml:space="preserve">, investment and energy access pull the score down. On annual investment it scores higher than only </w:t>
      </w:r>
      <w:r>
        <w:t>23%</w:t>
      </w:r>
      <w:r>
        <w:t xml:space="preserve"> of the other economies, and growth in investment is not reported, which the index counts as zero. Wind power use per person changed by </w:t>
      </w:r>
      <w:r>
        <w:t>-10.4%</w:t>
      </w:r>
      <w:r>
        <w:t xml:space="preserve"> over the years to </w:t>
      </w:r>
      <w:r>
        <w:t>2025</w:t>
      </w:r>
      <w:r>
        <w:t>.</w:t>
      </w:r>
      <w:r>
        <w:rPr>
          <w:color w:val="4B5563"/>
          <w:vertAlign w:val="superscript"/>
        </w:rPr>
        <w:t>1,2,3,4</w:t>
      </w:r>
    </w:p>
    <w:p>
      <w:pPr>
        <w:pStyle w:val="Heading1"/>
      </w:pPr>
      <w:r>
        <w:t>2. Economic opportunities and why</w:t>
      </w:r>
    </w:p>
    <w:p>
      <w:r>
        <w:t>18</w:t>
      </w:r>
      <w:r>
        <w:t xml:space="preserve"> of the </w:t>
      </w:r>
      <w:r>
        <w:t>29</w:t>
      </w:r>
      <w:r>
        <w:t xml:space="preserve"> placed sectors sit in the two high-opportunity corners. Economic Opportunity measures how well placed a country is to create value in a sector. Compared with other economies, it is highest in </w:t>
      </w:r>
      <w:r>
        <w:t>downstream batteries</w:t>
      </w:r>
      <w:r>
        <w:t xml:space="preserve">, </w:t>
      </w:r>
      <w:r>
        <w:t>upstream electric grid</w:t>
      </w:r>
      <w:r>
        <w:t xml:space="preserve"> and </w:t>
      </w:r>
      <w:r>
        <w:t>downstream solar</w:t>
      </w:r>
      <w:r>
        <w:t xml:space="preserve">, higher than </w:t>
      </w:r>
      <w:r>
        <w:t>96%</w:t>
      </w:r>
      <w:r>
        <w:t xml:space="preserve">, </w:t>
      </w:r>
      <w:r>
        <w:t>92%</w:t>
      </w:r>
      <w:r>
        <w:t xml:space="preserve"> and </w:t>
      </w:r>
      <w:r>
        <w:t>88%</w:t>
      </w:r>
      <w:r>
        <w:t xml:space="preserve"> of the other economies scored. All sit in the </w:t>
      </w:r>
      <w:r>
        <w:t>Grow</w:t>
      </w:r>
      <w:r>
        <w:t xml:space="preserve"> corner, which the paper's framework associates with export promotion.</w:t>
      </w:r>
      <w:r>
        <w:rPr>
          <w:color w:val="4B5563"/>
          <w:vertAlign w:val="superscript"/>
        </w:rPr>
        <w:t>1</w:t>
      </w:r>
    </w:p>
    <w:p>
      <w:r>
        <w:t xml:space="preserve">In </w:t>
      </w:r>
      <w:r>
        <w:t>downstream batteries</w:t>
      </w:r>
      <w:r>
        <w:t xml:space="preserve">, investment pushes the score up: it scores higher than </w:t>
      </w:r>
      <w:r>
        <w:t>95%</w:t>
      </w:r>
      <w:r>
        <w:t xml:space="preserve"> of the other economies on annual investment and </w:t>
      </w:r>
      <w:r>
        <w:t>96%</w:t>
      </w:r>
      <w:r>
        <w:t xml:space="preserve"> on its growth. In </w:t>
      </w:r>
      <w:r>
        <w:t>upstream electric grid</w:t>
      </w:r>
      <w:r>
        <w:t xml:space="preserve">, trade pushes the score up: its revealed comparative advantage, the weight of these goods in its exports relative to world exports, was </w:t>
      </w:r>
      <w:r>
        <w:t>6.79</w:t>
      </w:r>
      <w:r>
        <w:t xml:space="preserve"> in </w:t>
      </w:r>
      <w:r>
        <w:t>2024</w:t>
      </w:r>
      <w:r>
        <w:t xml:space="preserve">. On export feasibility, which measures related capabilities, it scores higher than </w:t>
      </w:r>
      <w:r>
        <w:t>89%</w:t>
      </w:r>
      <w:r>
        <w:t xml:space="preserve"> of the other economies. For context, its largest markets were </w:t>
      </w:r>
      <w:r>
        <w:t>Germany</w:t>
      </w:r>
      <w:r>
        <w:t xml:space="preserve"> (</w:t>
      </w:r>
      <w:r>
        <w:t>30.9%</w:t>
      </w:r>
      <w:r>
        <w:t xml:space="preserve">), </w:t>
      </w:r>
      <w:r>
        <w:t>Italy</w:t>
      </w:r>
      <w:r>
        <w:t xml:space="preserve"> (</w:t>
      </w:r>
      <w:r>
        <w:t>23.9%</w:t>
      </w:r>
      <w:r>
        <w:t xml:space="preserve">) and </w:t>
      </w:r>
      <w:r>
        <w:t>Turkiye</w:t>
      </w:r>
      <w:r>
        <w:t xml:space="preserve"> (</w:t>
      </w:r>
      <w:r>
        <w:t>18.6%</w:t>
      </w:r>
      <w:r>
        <w:t>).</w:t>
      </w:r>
      <w:r>
        <w:rPr>
          <w:color w:val="4B5563"/>
          <w:vertAlign w:val="superscript"/>
        </w:rPr>
        <w:t>1,2,5</w:t>
      </w:r>
    </w:p>
    <w:p>
      <w:r>
        <w:t xml:space="preserve">In </w:t>
      </w:r>
      <w:r>
        <w:t>downstream solar</w:t>
      </w:r>
      <w:r>
        <w:t xml:space="preserve">, energy access and investment push the score up. Solar power use was </w:t>
      </w:r>
      <w:r>
        <w:t>3.66 GJ per person</w:t>
      </w:r>
      <w:r>
        <w:t xml:space="preserve"> in </w:t>
      </w:r>
      <w:r>
        <w:t>2025</w:t>
      </w:r>
      <w:r>
        <w:t xml:space="preserve">, after a change of </w:t>
      </w:r>
      <w:r>
        <w:t>380.1%</w:t>
      </w:r>
      <w:r>
        <w:t xml:space="preserve"> over the years to </w:t>
      </w:r>
      <w:r>
        <w:t>2025</w:t>
      </w:r>
      <w:r>
        <w:t xml:space="preserve">. On annual investment it scores higher than </w:t>
      </w:r>
      <w:r>
        <w:t>80%</w:t>
      </w:r>
      <w:r>
        <w:t xml:space="preserve"> of the other economies.</w:t>
      </w:r>
      <w:r>
        <w:rPr>
          <w:color w:val="4B5563"/>
          <w:vertAlign w:val="superscript"/>
        </w:rPr>
        <w:t>1,4</w:t>
      </w:r>
    </w:p>
    <w:p>
      <w:pPr>
        <w:pStyle w:val="Heading1"/>
      </w:pPr>
      <w:r>
        <w:t>3. Sectoral priorities and the existing policy posture</w:t>
      </w:r>
    </w:p>
    <w:p>
      <w:r>
        <w:t xml:space="preserve">The Strategic Index ranks a country's own sectors by opportunity, security need, policy activity, stage and low-emission value. On the paper's weighting, it ranks </w:t>
      </w:r>
      <w:r>
        <w:t>upstream batteries</w:t>
      </w:r>
      <w:r>
        <w:t xml:space="preserve"> </w:t>
      </w:r>
      <w:r>
        <w:t>1st</w:t>
      </w:r>
      <w:r>
        <w:t xml:space="preserve">, </w:t>
      </w:r>
      <w:r>
        <w:t>midstream batteries</w:t>
      </w:r>
      <w:r>
        <w:t xml:space="preserve"> </w:t>
      </w:r>
      <w:r>
        <w:t>2nd</w:t>
      </w:r>
      <w:r>
        <w:t xml:space="preserve">, </w:t>
      </w:r>
      <w:r>
        <w:t>upstream solar</w:t>
      </w:r>
      <w:r>
        <w:t xml:space="preserve"> </w:t>
      </w:r>
      <w:r>
        <w:t>3rd</w:t>
      </w:r>
      <w:r>
        <w:t xml:space="preserve">, </w:t>
      </w:r>
      <w:r>
        <w:t>upstream nuclear</w:t>
      </w:r>
      <w:r>
        <w:t xml:space="preserve"> </w:t>
      </w:r>
      <w:r>
        <w:t>4th</w:t>
      </w:r>
      <w:r>
        <w:t xml:space="preserve"> and </w:t>
      </w:r>
      <w:r>
        <w:t>upstream wind</w:t>
      </w:r>
      <w:r>
        <w:t xml:space="preserve"> </w:t>
      </w:r>
      <w:r>
        <w:t>5th</w:t>
      </w:r>
      <w:r>
        <w:t xml:space="preserve"> among </w:t>
      </w:r>
      <w:r>
        <w:t>Bulgaria</w:t>
      </w:r>
      <w:r>
        <w:t xml:space="preserve">'s own sectors. The scores are almost tied: </w:t>
      </w:r>
      <w:r>
        <w:t>upstream batteries</w:t>
      </w:r>
      <w:r>
        <w:t xml:space="preserve"> leads with </w:t>
      </w:r>
      <w:r>
        <w:t>0.66</w:t>
      </w:r>
      <w:r>
        <w:t xml:space="preserve">, just under </w:t>
      </w:r>
      <w:r>
        <w:t>0.010</w:t>
      </w:r>
      <w:r>
        <w:t xml:space="preserve"> ahead of the next, and the later gaps are </w:t>
      </w:r>
      <w:r>
        <w:t>0.005</w:t>
      </w:r>
      <w:r>
        <w:t xml:space="preserve">, </w:t>
      </w:r>
      <w:r>
        <w:t>0.005</w:t>
      </w:r>
      <w:r>
        <w:t xml:space="preserve"> and </w:t>
      </w:r>
      <w:r>
        <w:t>0.005</w:t>
      </w:r>
      <w:r>
        <w:t>.</w:t>
      </w:r>
      <w:r>
        <w:rPr>
          <w:color w:val="4B5563"/>
          <w:vertAlign w:val="superscript"/>
        </w:rPr>
        <w:t>1</w:t>
      </w:r>
    </w:p>
    <w:p>
      <w:r>
        <w:t xml:space="preserve">The data's high-priority sectors rank far lower: </w:t>
      </w:r>
      <w:r>
        <w:t>upstream oil</w:t>
      </w:r>
      <w:r>
        <w:t xml:space="preserve"> is </w:t>
      </w:r>
      <w:r>
        <w:t>24th</w:t>
      </w:r>
      <w:r>
        <w:t xml:space="preserve"> and </w:t>
      </w:r>
      <w:r>
        <w:t>midstream coal</w:t>
      </w:r>
      <w:r>
        <w:t xml:space="preserve"> </w:t>
      </w:r>
      <w:r>
        <w:t>26th</w:t>
      </w:r>
      <w:r>
        <w:t xml:space="preserve">. In </w:t>
      </w:r>
      <w:r>
        <w:t>upstream oil</w:t>
      </w:r>
      <w:r>
        <w:t xml:space="preserve">, the technology's low-emission term adds </w:t>
      </w:r>
      <w:r>
        <w:t>0.000</w:t>
      </w:r>
      <w:r>
        <w:t xml:space="preserve"> and the policy term </w:t>
      </w:r>
      <w:r>
        <w:t>0.032</w:t>
      </w:r>
      <w:r>
        <w:t xml:space="preserve">, against </w:t>
      </w:r>
      <w:r>
        <w:t>0.097</w:t>
      </w:r>
      <w:r>
        <w:t xml:space="preserve"> and </w:t>
      </w:r>
      <w:r>
        <w:t>0.136</w:t>
      </w:r>
      <w:r>
        <w:t xml:space="preserve"> in </w:t>
      </w:r>
      <w:r>
        <w:t>upstream batteries</w:t>
      </w:r>
      <w:r>
        <w:t>.</w:t>
      </w:r>
      <w:r>
        <w:rPr>
          <w:color w:val="4B5563"/>
          <w:vertAlign w:val="superscript"/>
        </w:rPr>
        <w:t>1</w:t>
      </w:r>
    </w:p>
    <w:p>
      <w:r>
        <w:t xml:space="preserve">The allied pick, the leading upstream or midstream sector after a screen for resource endowment, is </w:t>
      </w:r>
      <w:r>
        <w:t>midstream batteries</w:t>
      </w:r>
      <w:r>
        <w:t xml:space="preserve"> (</w:t>
      </w:r>
      <w:r>
        <w:t>0.65</w:t>
      </w:r>
      <w:r>
        <w:t xml:space="preserve">), </w:t>
      </w:r>
      <w:r>
        <w:t>0.010</w:t>
      </w:r>
      <w:r>
        <w:t xml:space="preserve"> ahead of </w:t>
      </w:r>
      <w:r>
        <w:t>upstream nuclear</w:t>
      </w:r>
      <w:r>
        <w:t xml:space="preserve">. The screen leaves out </w:t>
      </w:r>
      <w:r>
        <w:t>upstream batteries</w:t>
      </w:r>
      <w:r>
        <w:t xml:space="preserve"> and </w:t>
      </w:r>
      <w:r>
        <w:t>upstream solar</w:t>
      </w:r>
      <w:r>
        <w:t xml:space="preserve"> because no resource base is recorded for them.</w:t>
      </w:r>
      <w:r>
        <w:rPr>
          <w:color w:val="4B5563"/>
          <w:vertAlign w:val="superscript"/>
        </w:rPr>
        <w:t>6</w:t>
      </w:r>
    </w:p>
    <w:p>
      <w:r>
        <w:t xml:space="preserve">Policy activity counts International Energy Agency Policies and Measures records and reads the Climate Action Tracker rating against each technology. </w:t>
      </w:r>
      <w:r>
        <w:t>Bulgaria</w:t>
      </w:r>
      <w:r>
        <w:t xml:space="preserve"> carries the rating </w:t>
      </w:r>
      <w:r>
        <w:t>Insufficient</w:t>
      </w:r>
      <w:r>
        <w:t xml:space="preserve"> (</w:t>
      </w:r>
      <w:r>
        <w:t>November 2024</w:t>
      </w:r>
      <w:r>
        <w:t xml:space="preserve">) and has </w:t>
      </w:r>
      <w:r>
        <w:t>64</w:t>
      </w:r>
      <w:r>
        <w:t xml:space="preserve"> such records, </w:t>
      </w:r>
      <w:r>
        <w:t>34</w:t>
      </w:r>
      <w:r>
        <w:t xml:space="preserve"> of which name a technology. Comparing priority, the index without its policy term, with policy activity, top priority meets the most policy in </w:t>
      </w:r>
      <w:r>
        <w:t>upstream batteries, midstream batteries, midstream electric grid and midstream solar</w:t>
      </w:r>
      <w:r>
        <w:t xml:space="preserve">. No top-priority sector falls among those with the least policy, and no bottom-priority sector among those with the most. Priority and policy agree at the bottom in </w:t>
      </w:r>
      <w:r>
        <w:t>7</w:t>
      </w:r>
      <w:r>
        <w:t xml:space="preserve"> sectors, every coal and oil sector among them.</w:t>
      </w:r>
      <w:r>
        <w:rPr>
          <w:color w:val="4B5563"/>
          <w:vertAlign w:val="superscript"/>
        </w:rPr>
        <w:t>1,7,8</w:t>
      </w:r>
    </w:p>
    <w:p>
      <w:pPr>
        <w:pStyle w:val="Heading1"/>
      </w:pPr>
      <w:r>
        <w:t>4. Partnership priorities and why</w:t>
      </w:r>
    </w:p>
    <w:p>
      <w:r>
        <w:t xml:space="preserve">The Partnership Strength Index rates partners as reliable suppliers (Friendshore), as export markets (Partnership Opportunity) and, for middle- and lower-income partners, by Development Potential. From </w:t>
      </w:r>
      <w:r>
        <w:t>Bulgaria</w:t>
      </w:r>
      <w:r>
        <w:t xml:space="preserve">'s viewpoint it ranks </w:t>
      </w:r>
      <w:r>
        <w:t>Italy</w:t>
      </w:r>
      <w:r>
        <w:t xml:space="preserve"> </w:t>
      </w:r>
      <w:r>
        <w:t>1st</w:t>
      </w:r>
      <w:r>
        <w:t xml:space="preserve">, </w:t>
      </w:r>
      <w:r>
        <w:t>Germany</w:t>
      </w:r>
      <w:r>
        <w:t xml:space="preserve"> </w:t>
      </w:r>
      <w:r>
        <w:t>2nd</w:t>
      </w:r>
      <w:r>
        <w:t xml:space="preserve">, the </w:t>
      </w:r>
      <w:r>
        <w:t>Netherlands</w:t>
      </w:r>
      <w:r>
        <w:t xml:space="preserve"> </w:t>
      </w:r>
      <w:r>
        <w:t>3rd</w:t>
      </w:r>
      <w:r>
        <w:t xml:space="preserve">, </w:t>
      </w:r>
      <w:r>
        <w:t>Greece</w:t>
      </w:r>
      <w:r>
        <w:t xml:space="preserve"> </w:t>
      </w:r>
      <w:r>
        <w:t>4th</w:t>
      </w:r>
      <w:r>
        <w:t xml:space="preserve"> and </w:t>
      </w:r>
      <w:r>
        <w:t>Romania</w:t>
      </w:r>
      <w:r>
        <w:t xml:space="preserve"> </w:t>
      </w:r>
      <w:r>
        <w:t>5th</w:t>
      </w:r>
      <w:r>
        <w:t xml:space="preserve"> of </w:t>
      </w:r>
      <w:r>
        <w:t>192</w:t>
      </w:r>
      <w:r>
        <w:t xml:space="preserve"> partners. </w:t>
      </w:r>
      <w:r>
        <w:t>Italy</w:t>
      </w:r>
      <w:r>
        <w:t xml:space="preserve">, the </w:t>
      </w:r>
      <w:r>
        <w:t>Netherlands</w:t>
      </w:r>
      <w:r>
        <w:t xml:space="preserve">, </w:t>
      </w:r>
      <w:r>
        <w:t>Greece</w:t>
      </w:r>
      <w:r>
        <w:t xml:space="preserve"> and </w:t>
      </w:r>
      <w:r>
        <w:t>Romania</w:t>
      </w:r>
      <w:r>
        <w:t xml:space="preserve"> each stand out as an </w:t>
      </w:r>
      <w:r>
        <w:t>export market</w:t>
      </w:r>
      <w:r>
        <w:t xml:space="preserve">; for </w:t>
      </w:r>
      <w:r>
        <w:t>Italy</w:t>
      </w:r>
      <w:r>
        <w:t xml:space="preserve"> the best sectors are </w:t>
      </w:r>
      <w:r>
        <w:t>upstream electric grid, midstream solar, midstream electric grid, midstream batteries and midstream wind</w:t>
      </w:r>
      <w:r>
        <w:t xml:space="preserve">. </w:t>
      </w:r>
      <w:r>
        <w:t>Germany</w:t>
      </w:r>
      <w:r>
        <w:t xml:space="preserve"> stands out as a </w:t>
      </w:r>
      <w:r>
        <w:t>reliable supplier</w:t>
      </w:r>
      <w:r>
        <w:t>.</w:t>
      </w:r>
      <w:r>
        <w:rPr>
          <w:color w:val="4B5563"/>
          <w:vertAlign w:val="superscript"/>
        </w:rPr>
        <w:t>1</w:t>
      </w:r>
    </w:p>
    <w:p>
      <w:r>
        <w:t xml:space="preserve">Today's trade matches most of this list. </w:t>
      </w:r>
      <w:r>
        <w:t>Germany</w:t>
      </w:r>
      <w:r>
        <w:t xml:space="preserve"> is </w:t>
      </w:r>
      <w:r>
        <w:t>Bulgaria</w:t>
      </w:r>
      <w:r>
        <w:t xml:space="preserve">'s </w:t>
      </w:r>
      <w:r>
        <w:t>1st</w:t>
      </w:r>
      <w:r>
        <w:t xml:space="preserve"> trade partner on average across its energy-goods baskets, </w:t>
      </w:r>
      <w:r>
        <w:t>Italy</w:t>
      </w:r>
      <w:r>
        <w:t xml:space="preserve"> its </w:t>
      </w:r>
      <w:r>
        <w:t>3rd</w:t>
      </w:r>
      <w:r>
        <w:t xml:space="preserve">, </w:t>
      </w:r>
      <w:r>
        <w:t>Romania</w:t>
      </w:r>
      <w:r>
        <w:t xml:space="preserve"> its </w:t>
      </w:r>
      <w:r>
        <w:t>5th</w:t>
      </w:r>
      <w:r>
        <w:t xml:space="preserve"> and </w:t>
      </w:r>
      <w:r>
        <w:t>Greece</w:t>
      </w:r>
      <w:r>
        <w:t xml:space="preserve"> its </w:t>
      </w:r>
      <w:r>
        <w:t>6th</w:t>
      </w:r>
      <w:r>
        <w:t xml:space="preserve">; each is </w:t>
      </w:r>
      <w:r>
        <w:t>a priority partner with strong ties today</w:t>
      </w:r>
      <w:r>
        <w:t xml:space="preserve">. The </w:t>
      </w:r>
      <w:r>
        <w:t>Netherlands</w:t>
      </w:r>
      <w:r>
        <w:t xml:space="preserve"> trades less, ranking </w:t>
      </w:r>
      <w:r>
        <w:t>15th</w:t>
      </w:r>
      <w:r>
        <w:t xml:space="preserve">. All of these partners vote in the </w:t>
      </w:r>
      <w:r>
        <w:t>same bloc</w:t>
      </w:r>
      <w:r>
        <w:t xml:space="preserve"> as </w:t>
      </w:r>
      <w:r>
        <w:t>Bulgaria</w:t>
      </w:r>
      <w:r>
        <w:t xml:space="preserve"> at the UN and share membership of </w:t>
      </w:r>
      <w:r>
        <w:t>NATO</w:t>
      </w:r>
      <w:r>
        <w:t xml:space="preserve"> with it. By contrast, </w:t>
      </w:r>
      <w:r>
        <w:t>China</w:t>
      </w:r>
      <w:r>
        <w:t xml:space="preserve"> is its </w:t>
      </w:r>
      <w:r>
        <w:t>2nd</w:t>
      </w:r>
      <w:r>
        <w:t xml:space="preserve"> trade partner but ranks </w:t>
      </w:r>
      <w:r>
        <w:t>46th</w:t>
      </w:r>
      <w:r>
        <w:t xml:space="preserve"> on Partnership Strength, and </w:t>
      </w:r>
      <w:r>
        <w:t>Turkiye</w:t>
      </w:r>
      <w:r>
        <w:t xml:space="preserve"> is its </w:t>
      </w:r>
      <w:r>
        <w:t>4th</w:t>
      </w:r>
      <w:r>
        <w:t xml:space="preserve"> but ranks </w:t>
      </w:r>
      <w:r>
        <w:t>36th</w:t>
      </w:r>
      <w:r>
        <w:t xml:space="preserve">. In UN votes, </w:t>
      </w:r>
      <w:r>
        <w:t>Bulgaria</w:t>
      </w:r>
      <w:r>
        <w:t xml:space="preserve"> and </w:t>
      </w:r>
      <w:r>
        <w:t>China</w:t>
      </w:r>
      <w:r>
        <w:t xml:space="preserve"> sit in </w:t>
      </w:r>
      <w:r>
        <w:t>opposite blocs</w:t>
      </w:r>
      <w:r>
        <w:t xml:space="preserve">, while </w:t>
      </w:r>
      <w:r>
        <w:t>Turkiye</w:t>
      </w:r>
      <w:r>
        <w:t xml:space="preserve"> is </w:t>
      </w:r>
      <w:r>
        <w:t>nonaligned</w:t>
      </w:r>
      <w:r>
        <w:t>.</w:t>
      </w:r>
      <w:r>
        <w:rPr>
          <w:color w:val="4B5563"/>
          <w:vertAlign w:val="superscript"/>
        </w:rPr>
        <w:t>1,2,9,10</w:t>
      </w:r>
    </w:p>
    <w:p>
      <w:r>
        <w:t xml:space="preserve">As a partner to the coalition, </w:t>
      </w:r>
      <w:r>
        <w:t>Bulgaria</w:t>
      </w:r>
      <w:r>
        <w:t xml:space="preserve"> ranks </w:t>
      </w:r>
      <w:r>
        <w:t>26th</w:t>
      </w:r>
      <w:r>
        <w:t xml:space="preserve"> of </w:t>
      </w:r>
      <w:r>
        <w:t>192</w:t>
      </w:r>
      <w:r>
        <w:t xml:space="preserve"> economies on Partnership Strength averaged over the core members' viewpoints. In the allied network design, which spreads upstream and midstream production across coalition members, its largest designed shares are </w:t>
      </w:r>
      <w:r>
        <w:t>0.2%</w:t>
      </w:r>
      <w:r>
        <w:t xml:space="preserve"> of </w:t>
      </w:r>
      <w:r>
        <w:t>upstream coal</w:t>
      </w:r>
      <w:r>
        <w:t xml:space="preserve"> and </w:t>
      </w:r>
      <w:r>
        <w:t>0.2%</w:t>
      </w:r>
      <w:r>
        <w:t xml:space="preserve"> of </w:t>
      </w:r>
      <w:r>
        <w:t>midstream wind</w:t>
      </w:r>
      <w:r>
        <w:t>.</w:t>
      </w:r>
      <w:r>
        <w:rPr>
          <w:color w:val="4B5563"/>
          <w:vertAlign w:val="superscript"/>
        </w:rPr>
        <w:t>1,6</w:t>
      </w:r>
    </w:p>
    <w:p>
      <w:pPr>
        <w:pStyle w:val="Heading1"/>
      </w:pPr>
      <w:r>
        <w:t>5. Data notes and caveats</w:t>
      </w:r>
    </w:p>
    <w:p>
      <w:r>
        <w:t xml:space="preserve">Values are as of </w:t>
      </w:r>
      <w:r>
        <w:t>12 October 2026</w:t>
      </w:r>
      <w:r>
        <w:t>; Country Insights has more.</w:t>
      </w:r>
    </w:p>
    <w:p>
      <w:pPr>
        <w:pStyle w:val="ListBullet"/>
      </w:pPr>
      <w:r>
        <w:t>Scores compare Bulgaria with other economies in the same sector; they are not measures of risk or profit in absolute terms.</w:t>
      </w:r>
    </w:p>
    <w:p>
      <w:pPr>
        <w:pStyle w:val="ListBullet"/>
      </w:pPr>
      <w:r>
        <w:t>All index values are the paper's baseline as of 12 October 2026; Strategic Insights recomputes them under other weightings.</w:t>
      </w:r>
    </w:p>
    <w:p>
      <w:pPr>
        <w:pStyle w:val="ListBullet"/>
      </w:pPr>
      <w:r>
        <w:t>Some figures behind these scores are filled in where the source has no value: with zero where a source lists every holder, otherwise with the world average.</w:t>
      </w:r>
    </w:p>
    <w:p>
      <w:pPr>
        <w:pStyle w:val="ListBullet"/>
      </w:pPr>
      <w:r>
        <w:t>Strategic Index scores within 0.01 of each other are almost tied: small changes in the data or the weights can swap their order.</w:t>
      </w:r>
    </w:p>
    <w:p>
      <w:pPr>
        <w:pStyle w:val="ListBullet"/>
      </w:pPr>
      <w:r>
        <w:t>Many allied picks are close calls: in the paper, 37% of them are within 0.01 of the runner-up.</w:t>
      </w:r>
    </w:p>
    <w:p>
      <w:pPr>
        <w:pStyle w:val="ListBullet"/>
      </w:pPr>
      <w:r>
        <w:t>In the allied network design the European Union is one producer; Bulgaria's shares are derived from its weight within the EU.</w:t>
      </w:r>
    </w:p>
    <w:p>
      <w:pPr>
        <w:pStyle w:val="ListBullet"/>
      </w:pPr>
      <w:r>
        <w:t>The Climate Action Tracker rates the EU as a whole; Bulgaria carries the EU's rating.</w:t>
      </w:r>
    </w:p>
    <w:p>
      <w:pPr>
        <w:pStyle w:val="ListBullet"/>
      </w:pPr>
      <w:r>
        <w:t>Bulgaria's counts leave out the EU's own 438 International Energy Agency policy records.</w:t>
      </w:r>
    </w:p>
    <w:p>
      <w:pPr>
        <w:pStyle w:val="ListBullet"/>
      </w:pPr>
      <w:r>
        <w:t>Trade figures count trade with other EU members.</w:t>
      </w:r>
    </w:p>
    <w:p>
      <w:pPr>
        <w:pStyle w:val="Heading2"/>
        <w:pBdr>
          <w:top w:val="single" w:sz="4" w:space="4" w:color="D1D5DB"/>
        </w:pBdr>
      </w:pPr>
      <w:r>
        <w:t>Sources</w:t>
      </w:r>
    </w:p>
    <w:p>
      <w:pPr>
        <w:pStyle w:val="ListNumber"/>
      </w:pPr>
      <w:r>
        <w:rPr>
          <w:sz w:val="17"/>
        </w:rPr>
        <w:t>Energy Security, Economic Opportunity, Strategic Index and Partnership Strength Index, paper baseline (Opportunity Security Indices pipeline); CC BY 4.0 (the paper's indices).</w:t>
      </w:r>
    </w:p>
    <w:p>
      <w:pPr>
        <w:pStyle w:val="ListNumber"/>
      </w:pPr>
      <w:r>
        <w:rPr>
          <w:sz w:val="17"/>
        </w:rPr>
        <w:t>United Nations, UN Comtrade Database, HS6 bilateral trade (all reporters), 2020 and 2024; reconciled by the authors (pulled 2026-10-07 to 2026-10-09); attribution; https://comtradeplus.un.org/.</w:t>
      </w:r>
    </w:p>
    <w:p>
      <w:pPr>
        <w:pStyle w:val="ListNumber"/>
      </w:pPr>
      <w:r>
        <w:rPr>
          <w:sz w:val="17"/>
        </w:rPr>
        <w:t>Growth Lab at Harvard University, The Atlas of Economic Complexity, HS92 6-digit country-product-year data (data to 2023); attribution; https://atlas.hks.harvard.edu/.</w:t>
      </w:r>
    </w:p>
    <w:p>
      <w:pPr>
        <w:pStyle w:val="ListNumber"/>
      </w:pPr>
      <w:r>
        <w:rPr>
          <w:sz w:val="17"/>
        </w:rPr>
        <w:t>Energy Institute, Statistical Review of World Energy 2026 (data to 2025); attribution; https://www.energyinst.org/statistical-review.</w:t>
      </w:r>
    </w:p>
    <w:p>
      <w:pPr>
        <w:pStyle w:val="ListNumber"/>
      </w:pPr>
      <w:r>
        <w:rPr>
          <w:sz w:val="17"/>
        </w:rPr>
        <w:t>United Nations, UN Comtrade Database, exports to World by reporter, 2024 (2024 data); attribution; https://comtradeplus.un.org/.</w:t>
      </w:r>
    </w:p>
    <w:p>
      <w:pPr>
        <w:pStyle w:val="ListNumber"/>
      </w:pPr>
      <w:r>
        <w:rPr>
          <w:sz w:val="17"/>
        </w:rPr>
        <w:t>Allied network design (the paper's model design of coalition production shares).</w:t>
      </w:r>
    </w:p>
    <w:p>
      <w:pPr>
        <w:pStyle w:val="ListNumber"/>
      </w:pPr>
      <w:r>
        <w:rPr>
          <w:sz w:val="17"/>
        </w:rPr>
        <w:t>Climate Action Tracker, country ratings (ratings updated 2022-2025); attribution; https://climateactiontracker.org/.</w:t>
      </w:r>
    </w:p>
    <w:p>
      <w:pPr>
        <w:pStyle w:val="ListNumber"/>
      </w:pPr>
      <w:r>
        <w:rPr>
          <w:sz w:val="17"/>
        </w:rPr>
        <w:t>International Energy Agency, Policies and Measures Database (export of 2026-09-30); attribution; https://www.iea.org/policies.</w:t>
      </w:r>
    </w:p>
    <w:p>
      <w:pPr>
        <w:pStyle w:val="ListNumber"/>
      </w:pPr>
      <w:r>
        <w:rPr>
          <w:sz w:val="17"/>
        </w:rPr>
        <w:t>Bailey, M., Strezhnev, A. and Voeten, E., United Nations General Assembly Voting Data, ideal points (Harvard Dataverse V39.0) (sessions to 2023); attribution; https://dataverse.harvard.edu/dataset.xhtml?persistentId=hdl:1902.1/12379.</w:t>
      </w:r>
    </w:p>
    <w:p>
      <w:pPr>
        <w:pStyle w:val="ListNumber"/>
      </w:pPr>
      <w:r>
        <w:rPr>
          <w:sz w:val="17"/>
        </w:rPr>
        <w:t>Economic-security agreements: G7, NATO, Indo-Pacific Economic Framework, Minerals Security Partnership (and Forum), U.S. free-trade agreements (compiled by the authors from official membership lists).</w:t>
      </w:r>
    </w:p>
    <w:p>
      <w:pPr>
        <w:pBdr>
          <w:top w:val="single" w:sz="4" w:space="4" w:color="D1D5DB"/>
        </w:pBdr>
      </w:pPr>
      <w:r>
        <w:rPr>
          <w:i/>
          <w:color w:val="4B5563"/>
          <w:sz w:val="18"/>
        </w:rPr>
        <w:t>AI-generated from the data and checked against it; paper baseline as of 12 October 2026.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i/>
        <w:color w:val="4B5563"/>
        <w:sz w:val="16"/>
      </w:rPr>
      <w:t>AI-generated from the data and checked against it; paper baseline as of 12 October 2026.  Allied Industrial Base Explorer, Country Insights: Bulgaria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1182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11182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11182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Bulgaria: energy security, economic opportunity and partnership priorities</dc:title>
  <dc:subject>Country Insights policy memo</dc:subject>
  <dc:creator>NEIS Center, Allied Industrial Base Explorer (AI-generated, checked against the data)</dc:creator>
  <cp:keywords>energy security; economic opportunity; Strategic Index; Partnership Strength Index; BGR</cp:keywords>
  <dc:description>paper baseline as of 12 October 2026; fact sheet sha256 e2222280eaa338390066b587e64c8448075d7ad68d380ace14f3a7bc3625b870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