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Canada: energy security, economic opportunity and partnership priorities</w:t>
      </w:r>
    </w:p>
    <w:p>
      <w:r>
        <w:rPr>
          <w:color w:val="4B5563"/>
          <w:sz w:val="18"/>
        </w:rPr>
        <w:t>Policy memo · Country Insights · Allied Industrial Base Explorer · NEIS Center</w:t>
      </w:r>
    </w:p>
    <w:p>
      <w:pPr>
        <w:pBdr>
          <w:top w:val="single" w:sz="4" w:space="4" w:color="D1D5DB"/>
        </w:pBdr>
      </w:pPr>
      <w:r>
        <w:rPr>
          <w:i/>
          <w:color w:val="4B5563"/>
          <w:sz w:val="19"/>
        </w:rPr>
        <w:t>AI-generated from the data and checked against it; paper baseline as of 12 October 2026.</w:t>
      </w:r>
    </w:p>
    <w:tbl>
      <w:tblPr>
        <w:tblW w:type="auto" w:w="0"/>
        <w:tblLook w:firstColumn="1" w:firstRow="1" w:lastColumn="0" w:lastRow="0" w:noHBand="0" w:noVBand="1" w:val="04A0"/>
      </w:tblPr>
      <w:tblGrid>
        <w:gridCol w:w="10080"/>
      </w:tblGrid>
      <w:tr>
        <w:tc>
          <w:tcPr>
            <w:tcW w:type="dxa" w:w="10080"/>
            <w:shd w:val="clear" w:color="auto" w:fill="F3F4F6"/>
            <w:tcBorders>
              <w:top w:val="nil"/>
              <w:left w:val="single" w:sz="24" w:space="0" w:color="F58229"/>
              <w:bottom w:val="nil"/>
              <w:right w:val="nil"/>
            </w:tcBorders>
            <w:tcMar>
              <w:top w:w="120" w:type="dxa"/>
              <w:left w:w="200" w:type="dxa"/>
              <w:bottom w:w="80" w:type="dxa"/>
              <w:right w:w="160" w:type="dxa"/>
            </w:tcMar>
          </w:tcPr>
          <w:p>
            <w:r>
              <w:rPr>
                <w:b/>
                <w:sz w:val="24"/>
              </w:rPr>
              <w:t>Summary</w:t>
            </w:r>
          </w:p>
          <w:p>
            <w:pPr>
              <w:pStyle w:val="ListBullet"/>
            </w:pPr>
            <w:r>
              <w:t xml:space="preserve">None of </w:t>
            </w:r>
            <w:r>
              <w:t>Canada</w:t>
            </w:r>
            <w:r>
              <w:t xml:space="preserve">'s </w:t>
            </w:r>
            <w:r>
              <w:t>22</w:t>
            </w:r>
            <w:r>
              <w:t xml:space="preserve"> placed sectors sits in the two low-energy-security corners; its lowest Energy Security is in </w:t>
            </w:r>
            <w:r>
              <w:t>midstream wind</w:t>
            </w:r>
            <w:r>
              <w:t xml:space="preserve">, still higher than </w:t>
            </w:r>
            <w:r>
              <w:t>58%</w:t>
            </w:r>
            <w:r>
              <w:t xml:space="preserve"> of the other economies scored.</w:t>
            </w:r>
            <w:r>
              <w:rPr>
                <w:color w:val="4B5563"/>
                <w:vertAlign w:val="superscript"/>
              </w:rPr>
              <w:t>1</w:t>
            </w:r>
          </w:p>
          <w:p>
            <w:pPr>
              <w:pStyle w:val="ListBullet"/>
            </w:pPr>
            <w:r>
              <w:t xml:space="preserve">Its strongest openings are in </w:t>
            </w:r>
            <w:r>
              <w:t>upstream nuclear</w:t>
            </w:r>
            <w:r>
              <w:t xml:space="preserve">, </w:t>
            </w:r>
            <w:r>
              <w:t>upstream gas</w:t>
            </w:r>
            <w:r>
              <w:t xml:space="preserve"> and </w:t>
            </w:r>
            <w:r>
              <w:t>upstream oil</w:t>
            </w:r>
            <w:r>
              <w:t xml:space="preserve">, where its Economic Opportunity is higher than </w:t>
            </w:r>
            <w:r>
              <w:t>100%</w:t>
            </w:r>
            <w:r>
              <w:t xml:space="preserve">, </w:t>
            </w:r>
            <w:r>
              <w:t>98%</w:t>
            </w:r>
            <w:r>
              <w:t xml:space="preserve"> and </w:t>
            </w:r>
            <w:r>
              <w:t>98%</w:t>
            </w:r>
            <w:r>
              <w:t xml:space="preserve"> of the other economies scored, mainly because of production and trade.</w:t>
            </w:r>
            <w:r>
              <w:rPr>
                <w:color w:val="4B5563"/>
                <w:vertAlign w:val="superscript"/>
              </w:rPr>
              <w:t>1</w:t>
            </w:r>
          </w:p>
          <w:p>
            <w:pPr>
              <w:pStyle w:val="ListBullet"/>
            </w:pPr>
            <w:r>
              <w:t xml:space="preserve">On the paper's weighting, the Strategic Index ranks </w:t>
            </w:r>
            <w:r>
              <w:t>downstream solar</w:t>
            </w:r>
            <w:r>
              <w:t xml:space="preserve">, </w:t>
            </w:r>
            <w:r>
              <w:t>midstream electric grid</w:t>
            </w:r>
            <w:r>
              <w:t xml:space="preserve"> and </w:t>
            </w:r>
            <w:r>
              <w:t>midstream batteries</w:t>
            </w:r>
            <w:r>
              <w:t xml:space="preserve"> </w:t>
            </w:r>
            <w:r>
              <w:t>1st</w:t>
            </w:r>
            <w:r>
              <w:t xml:space="preserve"> to </w:t>
            </w:r>
            <w:r>
              <w:t>3rd</w:t>
            </w:r>
            <w:r>
              <w:t xml:space="preserve"> among its own sectors, almost tied. All of them fall in the group with the </w:t>
            </w:r>
            <w:r>
              <w:t>most policy</w:t>
            </w:r>
            <w:r>
              <w:t>.</w:t>
            </w:r>
            <w:r>
              <w:rPr>
                <w:color w:val="4B5563"/>
                <w:vertAlign w:val="superscript"/>
              </w:rPr>
              <w:t>1</w:t>
            </w:r>
          </w:p>
          <w:p>
            <w:pPr>
              <w:pStyle w:val="ListBullet"/>
            </w:pPr>
            <w:r>
              <w:t xml:space="preserve">The Partnership Strength Index rates the </w:t>
            </w:r>
            <w:r>
              <w:t>United States</w:t>
            </w:r>
            <w:r>
              <w:t xml:space="preserve"> highest for </w:t>
            </w:r>
            <w:r>
              <w:t>Canada</w:t>
            </w:r>
            <w:r>
              <w:t xml:space="preserve">, as a </w:t>
            </w:r>
            <w:r>
              <w:t>reliable supplier</w:t>
            </w:r>
            <w:r>
              <w:t xml:space="preserve">. </w:t>
            </w:r>
            <w:r>
              <w:t>China</w:t>
            </w:r>
            <w:r>
              <w:t xml:space="preserve"> is its </w:t>
            </w:r>
            <w:r>
              <w:t>2nd</w:t>
            </w:r>
            <w:r>
              <w:t xml:space="preserve"> trade partner but ranks </w:t>
            </w:r>
            <w:r>
              <w:t>48th</w:t>
            </w:r>
            <w:r>
              <w:t xml:space="preserve"> on Partnership Strength.</w:t>
            </w:r>
            <w:r>
              <w:rPr>
                <w:color w:val="4B5563"/>
                <w:vertAlign w:val="superscript"/>
              </w:rPr>
              <w:t>1,2</w:t>
            </w:r>
          </w:p>
        </w:tc>
      </w:tr>
    </w:tbl>
    <w:p/>
    <w:p>
      <w:pPr>
        <w:pStyle w:val="Heading1"/>
      </w:pPr>
      <w:r>
        <w:t>1. Energy security risks and why</w:t>
      </w:r>
    </w:p>
    <w:p>
      <w:r>
        <w:t>Canada</w:t>
      </w:r>
      <w:r>
        <w:t xml:space="preserve"> has </w:t>
      </w:r>
      <w:r>
        <w:t>0</w:t>
      </w:r>
      <w:r>
        <w:t xml:space="preserve"> placed sectors in the two low-energy-security corners, out of </w:t>
      </w:r>
      <w:r>
        <w:t>22</w:t>
      </w:r>
      <w:r>
        <w:t xml:space="preserve"> placed sectors whose scores can both be compared with other economies. Energy Security measures how well a country can rely on what it needs in a sector. Every placed sector has Energy Security above the middle economy of its sector.</w:t>
      </w:r>
      <w:r>
        <w:rPr>
          <w:color w:val="4B5563"/>
          <w:vertAlign w:val="superscript"/>
        </w:rPr>
        <w:t>1</w:t>
      </w:r>
    </w:p>
    <w:p>
      <w:r>
        <w:t xml:space="preserve">Measured against other economies, its lowest Energy Security is in </w:t>
      </w:r>
      <w:r>
        <w:t>midstream wind</w:t>
      </w:r>
      <w:r>
        <w:t xml:space="preserve"> (</w:t>
      </w:r>
      <w:r>
        <w:t>0.42</w:t>
      </w:r>
      <w:r>
        <w:t xml:space="preserve">), </w:t>
      </w:r>
      <w:r>
        <w:t>midstream electric grid</w:t>
      </w:r>
      <w:r>
        <w:t xml:space="preserve"> (</w:t>
      </w:r>
      <w:r>
        <w:t>0.50</w:t>
      </w:r>
      <w:r>
        <w:t xml:space="preserve">) and </w:t>
      </w:r>
      <w:r>
        <w:t>midstream electric vehicles</w:t>
      </w:r>
      <w:r>
        <w:t xml:space="preserve"> (</w:t>
      </w:r>
      <w:r>
        <w:t>0.47</w:t>
      </w:r>
      <w:r>
        <w:t xml:space="preserve">). These are higher than </w:t>
      </w:r>
      <w:r>
        <w:t>58%</w:t>
      </w:r>
      <w:r>
        <w:t xml:space="preserve">, </w:t>
      </w:r>
      <w:r>
        <w:t>68%</w:t>
      </w:r>
      <w:r>
        <w:t xml:space="preserve"> and </w:t>
      </w:r>
      <w:r>
        <w:t>74%</w:t>
      </w:r>
      <w:r>
        <w:t xml:space="preserve"> of the other </w:t>
      </w:r>
      <w:r>
        <w:t>64</w:t>
      </w:r>
      <w:r>
        <w:t xml:space="preserve">, </w:t>
      </w:r>
      <w:r>
        <w:t>92</w:t>
      </w:r>
      <w:r>
        <w:t xml:space="preserve"> and </w:t>
      </w:r>
      <w:r>
        <w:t>96</w:t>
      </w:r>
      <w:r>
        <w:t xml:space="preserve"> economies scored in these sectors. Of these, </w:t>
      </w:r>
      <w:r>
        <w:t>midstream wind</w:t>
      </w:r>
      <w:r>
        <w:t xml:space="preserve"> sits in the </w:t>
      </w:r>
      <w:r>
        <w:t>Watch</w:t>
      </w:r>
      <w:r>
        <w:t xml:space="preserve"> corner, the others in the </w:t>
      </w:r>
      <w:r>
        <w:t>Grow</w:t>
      </w:r>
      <w:r>
        <w:t xml:space="preserve"> corner.</w:t>
      </w:r>
      <w:r>
        <w:rPr>
          <w:color w:val="4B5563"/>
          <w:vertAlign w:val="superscript"/>
        </w:rPr>
        <w:t>1</w:t>
      </w:r>
    </w:p>
    <w:p>
      <w:r>
        <w:t xml:space="preserve">No sector sits in the Upgrade corner, so </w:t>
      </w:r>
      <w:r>
        <w:t>Canada</w:t>
      </w:r>
      <w:r>
        <w:t xml:space="preserve">'s high-priority sectors are its top Strategic Index sectors, </w:t>
      </w:r>
      <w:r>
        <w:t>downstream solar, midstream electric grid and midstream batteries</w:t>
      </w:r>
      <w:r>
        <w:t xml:space="preserve">. In </w:t>
      </w:r>
      <w:r>
        <w:t>midstream electric grid</w:t>
      </w:r>
      <w:r>
        <w:t xml:space="preserve">, its foreign-dependency score equals the middle economy's, and trade pushes the score up a little. </w:t>
      </w:r>
      <w:r>
        <w:t>Canada</w:t>
      </w:r>
      <w:r>
        <w:t xml:space="preserve">'s share of world exports of these goods was </w:t>
      </w:r>
      <w:r>
        <w:t>1.6%</w:t>
      </w:r>
      <w:r>
        <w:t xml:space="preserve"> in </w:t>
      </w:r>
      <w:r>
        <w:t>2023</w:t>
      </w:r>
      <w:r>
        <w:t xml:space="preserve">, and its trade deficit in them was </w:t>
      </w:r>
      <w:r>
        <w:t>0.1% of GDP</w:t>
      </w:r>
      <w:r>
        <w:t>.</w:t>
      </w:r>
      <w:r>
        <w:rPr>
          <w:color w:val="4B5563"/>
          <w:vertAlign w:val="superscript"/>
        </w:rPr>
        <w:t>1,3</w:t>
      </w:r>
    </w:p>
    <w:p>
      <w:r>
        <w:t xml:space="preserve">In </w:t>
      </w:r>
      <w:r>
        <w:t>midstream wind</w:t>
      </w:r>
      <w:r>
        <w:t xml:space="preserve">, the score stays close to the middle mainly because of foreign dependency, which carries </w:t>
      </w:r>
      <w:r>
        <w:t>46.2%</w:t>
      </w:r>
      <w:r>
        <w:t xml:space="preserve"> of the score's weight. Part of it is filled in: </w:t>
      </w:r>
      <w:r>
        <w:t>Canada</w:t>
      </w:r>
      <w:r>
        <w:t xml:space="preserve">'s share of announced world manufacturing capacity is not reported, so the index uses the world average. On the other measure of that category, its share of world supply of the technology's minerals, </w:t>
      </w:r>
      <w:r>
        <w:t>Canada</w:t>
      </w:r>
      <w:r>
        <w:t xml:space="preserve"> scores higher than </w:t>
      </w:r>
      <w:r>
        <w:t>86%</w:t>
      </w:r>
      <w:r>
        <w:t xml:space="preserve"> of the other economies. For context, its largest suppliers of these goods in </w:t>
      </w:r>
      <w:r>
        <w:t>2024</w:t>
      </w:r>
      <w:r>
        <w:t xml:space="preserve"> were the </w:t>
      </w:r>
      <w:r>
        <w:t>United States</w:t>
      </w:r>
      <w:r>
        <w:t xml:space="preserve"> (</w:t>
      </w:r>
      <w:r>
        <w:t>50.0%</w:t>
      </w:r>
      <w:r>
        <w:t xml:space="preserve"> of imports, which totalled </w:t>
      </w:r>
      <w:r>
        <w:t>USD 10.1 bn</w:t>
      </w:r>
      <w:r>
        <w:t xml:space="preserve">) and </w:t>
      </w:r>
      <w:r>
        <w:t>China</w:t>
      </w:r>
      <w:r>
        <w:t xml:space="preserve"> (</w:t>
      </w:r>
      <w:r>
        <w:t>14.2%</w:t>
      </w:r>
      <w:r>
        <w:t>).</w:t>
      </w:r>
      <w:r>
        <w:rPr>
          <w:color w:val="4B5563"/>
          <w:vertAlign w:val="superscript"/>
        </w:rPr>
        <w:t>1,2</w:t>
      </w:r>
    </w:p>
    <w:p>
      <w:pPr>
        <w:pStyle w:val="Heading1"/>
      </w:pPr>
      <w:r>
        <w:t>2. Economic opportunities and why</w:t>
      </w:r>
    </w:p>
    <w:p>
      <w:r>
        <w:t>21</w:t>
      </w:r>
      <w:r>
        <w:t xml:space="preserve"> of the </w:t>
      </w:r>
      <w:r>
        <w:t>22</w:t>
      </w:r>
      <w:r>
        <w:t xml:space="preserve"> placed sectors sit in the two high-opportunity corners, where Economic Opportunity is above the sector's middle economy. Economic Opportunity measures how well placed a country is to create value in a sector. The highest Economic Opportunity scores are in </w:t>
      </w:r>
      <w:r>
        <w:t>upstream nuclear</w:t>
      </w:r>
      <w:r>
        <w:t xml:space="preserve">, </w:t>
      </w:r>
      <w:r>
        <w:t>upstream gas</w:t>
      </w:r>
      <w:r>
        <w:t xml:space="preserve"> and </w:t>
      </w:r>
      <w:r>
        <w:t>upstream oil</w:t>
      </w:r>
      <w:r>
        <w:t xml:space="preserve">, all in the </w:t>
      </w:r>
      <w:r>
        <w:t>Grow</w:t>
      </w:r>
      <w:r>
        <w:t xml:space="preserve"> corner. They are higher than </w:t>
      </w:r>
      <w:r>
        <w:t>100%</w:t>
      </w:r>
      <w:r>
        <w:t xml:space="preserve">, </w:t>
      </w:r>
      <w:r>
        <w:t>98%</w:t>
      </w:r>
      <w:r>
        <w:t xml:space="preserve"> and </w:t>
      </w:r>
      <w:r>
        <w:t>98%</w:t>
      </w:r>
      <w:r>
        <w:t xml:space="preserve"> of the other </w:t>
      </w:r>
      <w:r>
        <w:t>174</w:t>
      </w:r>
      <w:r>
        <w:t xml:space="preserve">, </w:t>
      </w:r>
      <w:r>
        <w:t>97</w:t>
      </w:r>
      <w:r>
        <w:t xml:space="preserve"> and </w:t>
      </w:r>
      <w:r>
        <w:t>96</w:t>
      </w:r>
      <w:r>
        <w:t xml:space="preserve"> economies scored.</w:t>
      </w:r>
      <w:r>
        <w:rPr>
          <w:color w:val="4B5563"/>
          <w:vertAlign w:val="superscript"/>
        </w:rPr>
        <w:t>1</w:t>
      </w:r>
    </w:p>
    <w:p>
      <w:r>
        <w:t xml:space="preserve">In each of these sectors, production and trade push the score up. On production of </w:t>
      </w:r>
      <w:r>
        <w:t>upstream nuclear</w:t>
      </w:r>
      <w:r>
        <w:t xml:space="preserve">, </w:t>
      </w:r>
      <w:r>
        <w:t>Canada</w:t>
      </w:r>
      <w:r>
        <w:t xml:space="preserve"> scores higher than </w:t>
      </w:r>
      <w:r>
        <w:t>99%</w:t>
      </w:r>
      <w:r>
        <w:t xml:space="preserve"> of the other economies, and it held </w:t>
      </w:r>
      <w:r>
        <w:t>25.4%</w:t>
      </w:r>
      <w:r>
        <w:t xml:space="preserve"> of world exports of these goods in </w:t>
      </w:r>
      <w:r>
        <w:t>2023</w:t>
      </w:r>
      <w:r>
        <w:t xml:space="preserve">. Its gas production was </w:t>
      </w:r>
      <w:r>
        <w:t>7.42 EJ</w:t>
      </w:r>
      <w:r>
        <w:t xml:space="preserve"> in </w:t>
      </w:r>
      <w:r>
        <w:t>2025</w:t>
      </w:r>
      <w:r>
        <w:t xml:space="preserve"> and its oil production </w:t>
      </w:r>
      <w:r>
        <w:t>6,160 kb/d</w:t>
      </w:r>
      <w:r>
        <w:t xml:space="preserve">, and it held </w:t>
      </w:r>
      <w:r>
        <w:t>6.1%</w:t>
      </w:r>
      <w:r>
        <w:t xml:space="preserve"> of world exports of </w:t>
      </w:r>
      <w:r>
        <w:t>upstream oil</w:t>
      </w:r>
      <w:r>
        <w:t xml:space="preserve"> goods in </w:t>
      </w:r>
      <w:r>
        <w:t>2023</w:t>
      </w:r>
      <w:r>
        <w:t>.</w:t>
      </w:r>
      <w:r>
        <w:rPr>
          <w:color w:val="4B5563"/>
          <w:vertAlign w:val="superscript"/>
        </w:rPr>
        <w:t>1,3,4</w:t>
      </w:r>
    </w:p>
    <w:p>
      <w:r>
        <w:t xml:space="preserve">Next comes </w:t>
      </w:r>
      <w:r>
        <w:t>downstream wind</w:t>
      </w:r>
      <w:r>
        <w:t xml:space="preserve">, higher than </w:t>
      </w:r>
      <w:r>
        <w:t>98%</w:t>
      </w:r>
      <w:r>
        <w:t xml:space="preserve"> of the other economies scored. There, investment and production push the score up: on growth in investment </w:t>
      </w:r>
      <w:r>
        <w:t>Canada</w:t>
      </w:r>
      <w:r>
        <w:t xml:space="preserve"> scores higher than </w:t>
      </w:r>
      <w:r>
        <w:t>100%</w:t>
      </w:r>
      <w:r>
        <w:t xml:space="preserve"> of the other economies, and its wind generation was </w:t>
      </w:r>
      <w:r>
        <w:t>52.6 TWh</w:t>
      </w:r>
      <w:r>
        <w:t xml:space="preserve"> in </w:t>
      </w:r>
      <w:r>
        <w:t>2025</w:t>
      </w:r>
      <w:r>
        <w:t>.</w:t>
      </w:r>
      <w:r>
        <w:rPr>
          <w:color w:val="4B5563"/>
          <w:vertAlign w:val="superscript"/>
        </w:rPr>
        <w:t>1,4</w:t>
      </w:r>
    </w:p>
    <w:p>
      <w:r>
        <w:t xml:space="preserve">For context, the </w:t>
      </w:r>
      <w:r>
        <w:t>United States</w:t>
      </w:r>
      <w:r>
        <w:t xml:space="preserve"> took </w:t>
      </w:r>
      <w:r>
        <w:t>91.4%</w:t>
      </w:r>
      <w:r>
        <w:t xml:space="preserve"> of </w:t>
      </w:r>
      <w:r>
        <w:t>Canada</w:t>
      </w:r>
      <w:r>
        <w:t xml:space="preserve">'s </w:t>
      </w:r>
      <w:r>
        <w:t>upstream oil</w:t>
      </w:r>
      <w:r>
        <w:t xml:space="preserve"> exports of </w:t>
      </w:r>
      <w:r>
        <w:t>USD 130 bn</w:t>
      </w:r>
      <w:r>
        <w:t xml:space="preserve"> in </w:t>
      </w:r>
      <w:r>
        <w:t>2024</w:t>
      </w:r>
      <w:r>
        <w:t>, its largest market by far.</w:t>
      </w:r>
      <w:r>
        <w:rPr>
          <w:color w:val="4B5563"/>
          <w:vertAlign w:val="superscript"/>
        </w:rPr>
        <w:t>2</w:t>
      </w:r>
    </w:p>
    <w:p>
      <w:pPr>
        <w:pStyle w:val="Heading1"/>
      </w:pPr>
      <w:r>
        <w:t>3. Sectoral priorities and the existing policy posture</w:t>
      </w:r>
    </w:p>
    <w:p>
      <w:r>
        <w:t xml:space="preserve">The Strategic Index ranks a country's own sectors by combining opportunity, security need, policy activity, the stage and the technology's low-emission value. On the paper's weighting, it puts </w:t>
      </w:r>
      <w:r>
        <w:t>downstream solar</w:t>
      </w:r>
      <w:r>
        <w:t xml:space="preserve"> </w:t>
      </w:r>
      <w:r>
        <w:t>1st</w:t>
      </w:r>
      <w:r>
        <w:t xml:space="preserve"> (</w:t>
      </w:r>
      <w:r>
        <w:t>0.62</w:t>
      </w:r>
      <w:r>
        <w:t xml:space="preserve">), </w:t>
      </w:r>
      <w:r>
        <w:t>midstream electric grid</w:t>
      </w:r>
      <w:r>
        <w:t xml:space="preserve"> </w:t>
      </w:r>
      <w:r>
        <w:t>2nd</w:t>
      </w:r>
      <w:r>
        <w:t xml:space="preserve">, </w:t>
      </w:r>
      <w:r>
        <w:t>midstream batteries</w:t>
      </w:r>
      <w:r>
        <w:t xml:space="preserve"> </w:t>
      </w:r>
      <w:r>
        <w:t>3rd</w:t>
      </w:r>
      <w:r>
        <w:t xml:space="preserve"> and </w:t>
      </w:r>
      <w:r>
        <w:t>midstream solar</w:t>
      </w:r>
      <w:r>
        <w:t xml:space="preserve"> </w:t>
      </w:r>
      <w:r>
        <w:t>4th</w:t>
      </w:r>
      <w:r>
        <w:t xml:space="preserve"> among </w:t>
      </w:r>
      <w:r>
        <w:t>Canada</w:t>
      </w:r>
      <w:r>
        <w:t xml:space="preserve">'s own sectors, all in the </w:t>
      </w:r>
      <w:r>
        <w:t>Grow</w:t>
      </w:r>
      <w:r>
        <w:t xml:space="preserve"> corner. They are almost tied, with gaps to the next sector of just under </w:t>
      </w:r>
      <w:r>
        <w:t>0.010</w:t>
      </w:r>
      <w:r>
        <w:t xml:space="preserve">, then </w:t>
      </w:r>
      <w:r>
        <w:t>0.005</w:t>
      </w:r>
      <w:r>
        <w:t xml:space="preserve">, </w:t>
      </w:r>
      <w:r>
        <w:t>0.004</w:t>
      </w:r>
      <w:r>
        <w:t xml:space="preserve"> and </w:t>
      </w:r>
      <w:r>
        <w:t>0.001</w:t>
      </w:r>
      <w:r>
        <w:t>.</w:t>
      </w:r>
      <w:r>
        <w:rPr>
          <w:color w:val="4B5563"/>
          <w:vertAlign w:val="superscript"/>
        </w:rPr>
        <w:t>1</w:t>
      </w:r>
    </w:p>
    <w:p>
      <w:r>
        <w:t xml:space="preserve">The lead of </w:t>
      </w:r>
      <w:r>
        <w:t>downstream solar</w:t>
      </w:r>
      <w:r>
        <w:t xml:space="preserve"> comes from policy activity: its policy term adds </w:t>
      </w:r>
      <w:r>
        <w:t>0.200</w:t>
      </w:r>
      <w:r>
        <w:t xml:space="preserve">, and without that term it falls into the </w:t>
      </w:r>
      <w:r>
        <w:t>middle third</w:t>
      </w:r>
      <w:r>
        <w:t xml:space="preserve"> of </w:t>
      </w:r>
      <w:r>
        <w:t>Canada</w:t>
      </w:r>
      <w:r>
        <w:t xml:space="preserve">'s sectors. The allied pick, its leading upstream or midstream sector once sectors without a recorded resource base are set aside, is </w:t>
      </w:r>
      <w:r>
        <w:t>midstream electric grid</w:t>
      </w:r>
      <w:r>
        <w:t xml:space="preserve">, only </w:t>
      </w:r>
      <w:r>
        <w:t>0.005</w:t>
      </w:r>
      <w:r>
        <w:t xml:space="preserve"> ahead of </w:t>
      </w:r>
      <w:r>
        <w:t>midstream batteries</w:t>
      </w:r>
      <w:r>
        <w:t>.</w:t>
      </w:r>
      <w:r>
        <w:rPr>
          <w:color w:val="4B5563"/>
          <w:vertAlign w:val="superscript"/>
        </w:rPr>
        <w:t>1,5</w:t>
      </w:r>
    </w:p>
    <w:p>
      <w:r>
        <w:t xml:space="preserve">Policy activity counts International Energy Agency Policies and Measures records and the Climate Action Tracker rating, read against each technology. It broadly follows the data-based priorities. The sectors that combine top priority with the most policy are </w:t>
      </w:r>
      <w:r>
        <w:t>midstream electric grid, midstream solar and midstream batteries</w:t>
      </w:r>
      <w:r>
        <w:t xml:space="preserve">, and no sector combines top priority with the least policy. Those with bottom priority and the least policy are </w:t>
      </w:r>
      <w:r>
        <w:t>midstream gas, upstream gas, midstream oil, midstream coal, upstream oil and upstream coal</w:t>
      </w:r>
      <w:r>
        <w:t xml:space="preserve">. The Climate Action Tracker rates </w:t>
      </w:r>
      <w:r>
        <w:t>Canada</w:t>
      </w:r>
      <w:r>
        <w:t xml:space="preserve"> </w:t>
      </w:r>
      <w:r>
        <w:t>Insufficient</w:t>
      </w:r>
      <w:r>
        <w:t xml:space="preserve"> (</w:t>
      </w:r>
      <w:r>
        <w:t>August 2024</w:t>
      </w:r>
      <w:r>
        <w:t xml:space="preserve">), and </w:t>
      </w:r>
      <w:r>
        <w:t>Canada</w:t>
      </w:r>
      <w:r>
        <w:t xml:space="preserve"> has </w:t>
      </w:r>
      <w:r>
        <w:t>543</w:t>
      </w:r>
      <w:r>
        <w:t xml:space="preserve"> Policies and Measures records, </w:t>
      </w:r>
      <w:r>
        <w:t>355</w:t>
      </w:r>
      <w:r>
        <w:t xml:space="preserve"> of which name a technology. For context, Country Insights also lists industrial-policy measures recorded by Global Trade Alert; policy activity does not count them.</w:t>
      </w:r>
      <w:r>
        <w:rPr>
          <w:color w:val="4B5563"/>
          <w:vertAlign w:val="superscript"/>
        </w:rPr>
        <w:t>1,6,7</w:t>
      </w:r>
    </w:p>
    <w:p>
      <w:pPr>
        <w:pStyle w:val="Heading1"/>
      </w:pPr>
      <w:r>
        <w:t>4. Partnership priorities and why</w:t>
      </w:r>
    </w:p>
    <w:p>
      <w:r>
        <w:t xml:space="preserve">The Partnership Strength Index rates partners as suppliers (Friendshore), as markets for exports (Partnership Opportunity) and, for middle- and lower-income partners, by Development Potential. From </w:t>
      </w:r>
      <w:r>
        <w:t>Canada</w:t>
      </w:r>
      <w:r>
        <w:t xml:space="preserve">'s viewpoint it ranks the </w:t>
      </w:r>
      <w:r>
        <w:t>United States</w:t>
      </w:r>
      <w:r>
        <w:t xml:space="preserve"> </w:t>
      </w:r>
      <w:r>
        <w:t>1st</w:t>
      </w:r>
      <w:r>
        <w:t xml:space="preserve">, the </w:t>
      </w:r>
      <w:r>
        <w:t>Netherlands</w:t>
      </w:r>
      <w:r>
        <w:t xml:space="preserve"> </w:t>
      </w:r>
      <w:r>
        <w:t>2nd</w:t>
      </w:r>
      <w:r>
        <w:t xml:space="preserve">, the </w:t>
      </w:r>
      <w:r>
        <w:t>United Kingdom</w:t>
      </w:r>
      <w:r>
        <w:t xml:space="preserve"> </w:t>
      </w:r>
      <w:r>
        <w:t>3rd</w:t>
      </w:r>
      <w:r>
        <w:t xml:space="preserve">, </w:t>
      </w:r>
      <w:r>
        <w:t>Germany</w:t>
      </w:r>
      <w:r>
        <w:t xml:space="preserve"> </w:t>
      </w:r>
      <w:r>
        <w:t>4th</w:t>
      </w:r>
      <w:r>
        <w:t xml:space="preserve"> and </w:t>
      </w:r>
      <w:r>
        <w:t>France</w:t>
      </w:r>
      <w:r>
        <w:t xml:space="preserve"> </w:t>
      </w:r>
      <w:r>
        <w:t>5th</w:t>
      </w:r>
      <w:r>
        <w:t xml:space="preserve"> of </w:t>
      </w:r>
      <w:r>
        <w:t>191</w:t>
      </w:r>
      <w:r>
        <w:t xml:space="preserve"> partners. The </w:t>
      </w:r>
      <w:r>
        <w:t>United States</w:t>
      </w:r>
      <w:r>
        <w:t xml:space="preserve">, the </w:t>
      </w:r>
      <w:r>
        <w:t>Netherlands</w:t>
      </w:r>
      <w:r>
        <w:t xml:space="preserve">, the </w:t>
      </w:r>
      <w:r>
        <w:t>United Kingdom</w:t>
      </w:r>
      <w:r>
        <w:t xml:space="preserve"> and </w:t>
      </w:r>
      <w:r>
        <w:t>Germany</w:t>
      </w:r>
      <w:r>
        <w:t xml:space="preserve"> stand out most as a </w:t>
      </w:r>
      <w:r>
        <w:t>reliable supplier</w:t>
      </w:r>
      <w:r>
        <w:t xml:space="preserve">, </w:t>
      </w:r>
      <w:r>
        <w:t>France</w:t>
      </w:r>
      <w:r>
        <w:t xml:space="preserve"> as an </w:t>
      </w:r>
      <w:r>
        <w:t>export market</w:t>
      </w:r>
      <w:r>
        <w:t xml:space="preserve">. As a supplier, the </w:t>
      </w:r>
      <w:r>
        <w:t>United States</w:t>
      </w:r>
      <w:r>
        <w:t xml:space="preserve"> scores best in </w:t>
      </w:r>
      <w:r>
        <w:t>downstream batteries, midstream electric vehicles, midstream solar, midstream wind and downstream geothermal</w:t>
      </w:r>
      <w:r>
        <w:t>.</w:t>
      </w:r>
      <w:r>
        <w:rPr>
          <w:color w:val="4B5563"/>
          <w:vertAlign w:val="superscript"/>
        </w:rPr>
        <w:t>1</w:t>
      </w:r>
    </w:p>
    <w:p>
      <w:r>
        <w:t xml:space="preserve">These priorities partly match today's ties. The </w:t>
      </w:r>
      <w:r>
        <w:t>United States</w:t>
      </w:r>
      <w:r>
        <w:t xml:space="preserve"> is also </w:t>
      </w:r>
      <w:r>
        <w:t>Canada</w:t>
      </w:r>
      <w:r>
        <w:t xml:space="preserve">'s </w:t>
      </w:r>
      <w:r>
        <w:t>1st</w:t>
      </w:r>
      <w:r>
        <w:t xml:space="preserve"> trade partner on average across its energy-goods baskets, with average shares of </w:t>
      </w:r>
      <w:r>
        <w:t>49.3%</w:t>
      </w:r>
      <w:r>
        <w:t xml:space="preserve"> of its imports and </w:t>
      </w:r>
      <w:r>
        <w:t>62.4%</w:t>
      </w:r>
      <w:r>
        <w:t xml:space="preserve"> of its exports. Both belong to </w:t>
      </w:r>
      <w:r>
        <w:t>the G7, NATO, the Minerals Security Partnership and a U.S. free-trade agreement</w:t>
      </w:r>
      <w:r>
        <w:t xml:space="preserve">. </w:t>
      </w:r>
      <w:r>
        <w:t>Germany</w:t>
      </w:r>
      <w:r>
        <w:t xml:space="preserve"> is its </w:t>
      </w:r>
      <w:r>
        <w:t>3rd</w:t>
      </w:r>
      <w:r>
        <w:t xml:space="preserve"> trade partner, the </w:t>
      </w:r>
      <w:r>
        <w:t>United Kingdom</w:t>
      </w:r>
      <w:r>
        <w:t xml:space="preserve"> its </w:t>
      </w:r>
      <w:r>
        <w:t>10th</w:t>
      </w:r>
      <w:r>
        <w:t xml:space="preserve">, the </w:t>
      </w:r>
      <w:r>
        <w:t>Netherlands</w:t>
      </w:r>
      <w:r>
        <w:t xml:space="preserve"> its </w:t>
      </w:r>
      <w:r>
        <w:t>11th</w:t>
      </w:r>
      <w:r>
        <w:t xml:space="preserve"> and </w:t>
      </w:r>
      <w:r>
        <w:t>France</w:t>
      </w:r>
      <w:r>
        <w:t xml:space="preserve"> its </w:t>
      </w:r>
      <w:r>
        <w:t>17th</w:t>
      </w:r>
      <w:r>
        <w:t xml:space="preserve">. By contrast, </w:t>
      </w:r>
      <w:r>
        <w:t>China</w:t>
      </w:r>
      <w:r>
        <w:t xml:space="preserve"> is its </w:t>
      </w:r>
      <w:r>
        <w:t>2nd</w:t>
      </w:r>
      <w:r>
        <w:t xml:space="preserve"> trade partner but ranks </w:t>
      </w:r>
      <w:r>
        <w:t>48th</w:t>
      </w:r>
      <w:r>
        <w:t xml:space="preserve"> on Partnership Strength: it is </w:t>
      </w:r>
      <w:r>
        <w:t>a strong tie today that the index ranks lower</w:t>
      </w:r>
      <w:r>
        <w:t xml:space="preserve">. UN votes put </w:t>
      </w:r>
      <w:r>
        <w:t>Canada</w:t>
      </w:r>
      <w:r>
        <w:t xml:space="preserve"> and </w:t>
      </w:r>
      <w:r>
        <w:t>China</w:t>
      </w:r>
      <w:r>
        <w:t xml:space="preserve"> in </w:t>
      </w:r>
      <w:r>
        <w:t>opposite blocs</w:t>
      </w:r>
      <w:r>
        <w:t>.</w:t>
      </w:r>
      <w:r>
        <w:rPr>
          <w:color w:val="4B5563"/>
          <w:vertAlign w:val="superscript"/>
        </w:rPr>
        <w:t>1,2,8,9</w:t>
      </w:r>
    </w:p>
    <w:p>
      <w:r>
        <w:t xml:space="preserve">As a partner to the coalition, </w:t>
      </w:r>
      <w:r>
        <w:t>Canada</w:t>
      </w:r>
      <w:r>
        <w:t xml:space="preserve"> ranks </w:t>
      </w:r>
      <w:r>
        <w:t>13th</w:t>
      </w:r>
      <w:r>
        <w:t xml:space="preserve"> of </w:t>
      </w:r>
      <w:r>
        <w:t>192</w:t>
      </w:r>
      <w:r>
        <w:t xml:space="preserve"> economies, on Partnership Strength averaged over the core members' viewpoints. In the allied network design, which spreads production of each upstream and midstream stage across coalition members, its largest designed share is </w:t>
      </w:r>
      <w:r>
        <w:t>32.5%</w:t>
      </w:r>
      <w:r>
        <w:t xml:space="preserve"> of </w:t>
      </w:r>
      <w:r>
        <w:t>upstream nuclear</w:t>
      </w:r>
      <w:r>
        <w:t xml:space="preserve">, followed by </w:t>
      </w:r>
      <w:r>
        <w:t>17.4%</w:t>
      </w:r>
      <w:r>
        <w:t xml:space="preserve"> of </w:t>
      </w:r>
      <w:r>
        <w:t>upstream oil</w:t>
      </w:r>
      <w:r>
        <w:t>.</w:t>
      </w:r>
      <w:r>
        <w:rPr>
          <w:color w:val="4B5563"/>
          <w:vertAlign w:val="superscript"/>
        </w:rPr>
        <w:t>1,5</w:t>
      </w:r>
    </w:p>
    <w:p>
      <w:pPr>
        <w:pStyle w:val="Heading1"/>
      </w:pPr>
      <w:r>
        <w:t>5. Data notes and caveats</w:t>
      </w:r>
    </w:p>
    <w:p>
      <w:r>
        <w:t xml:space="preserve">Baseline of </w:t>
      </w:r>
      <w:r>
        <w:t>12 October 2026</w:t>
      </w:r>
      <w:r>
        <w:t>; details in Country Insights.</w:t>
      </w:r>
    </w:p>
    <w:p>
      <w:pPr>
        <w:pStyle w:val="ListBullet"/>
      </w:pPr>
      <w:r>
        <w:t>Scores compare Canada with other economies in the same sector; they are not measures of risk or profit in absolute terms.</w:t>
      </w:r>
    </w:p>
    <w:p>
      <w:pPr>
        <w:pStyle w:val="ListBullet"/>
      </w:pPr>
      <w:r>
        <w:t>All index values are the paper's baseline as of 12 October 2026; Strategic Insights recomputes them under other weightings.</w:t>
      </w:r>
    </w:p>
    <w:p>
      <w:pPr>
        <w:pStyle w:val="ListBullet"/>
      </w:pPr>
      <w:r>
        <w:t>Strategic Index scores within 0.01 of each other are almost tied: small changes in the data or the weights can swap their order.</w:t>
      </w:r>
    </w:p>
    <w:p>
      <w:pPr>
        <w:pStyle w:val="ListBullet"/>
      </w:pPr>
      <w:r>
        <w:t>Many allied picks are close calls: in the paper, 37% of them are within 0.01 of the runner-up.</w:t>
      </w:r>
    </w:p>
    <w:p>
      <w:pPr>
        <w:pStyle w:val="ListBullet"/>
      </w:pPr>
      <w:r>
        <w:t>Some figures behind these scores are filled in where the source has no value: with zero where a source lists every holder, otherwise with the world average.</w:t>
      </w:r>
    </w:p>
    <w:p>
      <w:pPr>
        <w:pStyle w:val="ListBullet"/>
      </w:pPr>
      <w:r>
        <w:t>Some of Canada's sectors are not placed: a score is compared with other economies only when the economy is sovereign and at most half of the score rests on filled-in data.</w:t>
      </w:r>
    </w:p>
    <w:p>
      <w:pPr>
        <w:pStyle w:val="Heading2"/>
        <w:pBdr>
          <w:top w:val="single" w:sz="4" w:space="4" w:color="D1D5DB"/>
        </w:pBdr>
      </w:pPr>
      <w:r>
        <w:t>Sources</w:t>
      </w:r>
    </w:p>
    <w:p>
      <w:pPr>
        <w:pStyle w:val="ListNumber"/>
      </w:pPr>
      <w:r>
        <w:rPr>
          <w:sz w:val="17"/>
        </w:rPr>
        <w:t>Energy Security, Economic Opportunity, Strategic Index and Partnership Strength Index, paper baseline (Opportunity Security Indices pipeline); CC BY 4.0 (the paper's indices).</w:t>
      </w:r>
    </w:p>
    <w:p>
      <w:pPr>
        <w:pStyle w:val="ListNumber"/>
      </w:pPr>
      <w:r>
        <w:rPr>
          <w:sz w:val="17"/>
        </w:rPr>
        <w:t>United Nations, UN Comtrade Database, HS6 bilateral trade (all reporters), 2020 and 2024; reconciled by the authors (pulled 2026-10-07 to 2026-10-09); attribution; https://comtradeplus.un.org/.</w:t>
      </w:r>
    </w:p>
    <w:p>
      <w:pPr>
        <w:pStyle w:val="ListNumber"/>
      </w:pPr>
      <w:r>
        <w:rPr>
          <w:sz w:val="17"/>
        </w:rPr>
        <w:t>Growth Lab at Harvard University, The Atlas of Economic Complexity, HS92 6-digit country-product-year data (data to 2023); attribution; https://atlas.hks.harvard.edu/.</w:t>
      </w:r>
    </w:p>
    <w:p>
      <w:pPr>
        <w:pStyle w:val="ListNumber"/>
      </w:pPr>
      <w:r>
        <w:rPr>
          <w:sz w:val="17"/>
        </w:rPr>
        <w:t>Energy Institute, Statistical Review of World Energy 2026 (data to 2025); attribution; https://www.energyinst.org/statistical-review.</w:t>
      </w:r>
    </w:p>
    <w:p>
      <w:pPr>
        <w:pStyle w:val="ListNumber"/>
      </w:pPr>
      <w:r>
        <w:rPr>
          <w:sz w:val="17"/>
        </w:rPr>
        <w:t>Allied network design (the paper's model design of coalition production shares).</w:t>
      </w:r>
    </w:p>
    <w:p>
      <w:pPr>
        <w:pStyle w:val="ListNumber"/>
      </w:pPr>
      <w:r>
        <w:rPr>
          <w:sz w:val="17"/>
        </w:rPr>
        <w:t>Climate Action Tracker, country ratings (ratings updated 2022-2025); attribution; https://climateactiontracker.org/.</w:t>
      </w:r>
    </w:p>
    <w:p>
      <w:pPr>
        <w:pStyle w:val="ListNumber"/>
      </w:pPr>
      <w:r>
        <w:rPr>
          <w:sz w:val="17"/>
        </w:rPr>
        <w:t>International Energy Agency, Policies and Measures Database (export of 2026-09-30); attribution; https://www.iea.org/policies.</w:t>
      </w:r>
    </w:p>
    <w:p>
      <w:pPr>
        <w:pStyle w:val="ListNumber"/>
      </w:pPr>
      <w:r>
        <w:rPr>
          <w:sz w:val="17"/>
        </w:rPr>
        <w:t>Economic-security agreements: G7, NATO, Indo-Pacific Economic Framework, Minerals Security Partnership (and Forum), U.S. free-trade agreements (compiled by the authors from official membership lists).</w:t>
      </w:r>
    </w:p>
    <w:p>
      <w:pPr>
        <w:pStyle w:val="ListNumber"/>
      </w:pPr>
      <w:r>
        <w:rPr>
          <w:sz w:val="17"/>
        </w:rPr>
        <w:t>Bailey, M., Strezhnev, A. and Voeten, E., United Nations General Assembly Voting Data, ideal points (Harvard Dataverse V39.0) (sessions to 2023); attribution; https://dataverse.harvard.edu/dataset.xhtml?persistentId=hdl:1902.1/12379.</w:t>
      </w:r>
    </w:p>
    <w:p>
      <w:pPr>
        <w:pBdr>
          <w:top w:val="single" w:sz="4" w:space="4" w:color="D1D5DB"/>
        </w:pBdr>
      </w:pPr>
      <w:r>
        <w:rPr>
          <w:i/>
          <w:color w:val="4B5563"/>
          <w:sz w:val="18"/>
        </w:rPr>
        <w:t>AI-generated from the data and checked against it; paper baseline as of 12 October 2026.</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i/>
        <w:color w:val="4B5563"/>
        <w:sz w:val="16"/>
      </w:rPr>
      <w:t>AI-generated from the data and checked against it; paper baseline as of 12 October 2026.  Allied Industrial Base Explorer, Country Insights: Canada</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color w:val="11182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11827"/>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11827"/>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color w:val="111827"/>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color w:val="111827"/>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Canada: energy security, economic opportunity and partnership priorities</dc:title>
  <dc:subject>Country Insights policy memo</dc:subject>
  <dc:creator>NEIS Center, Allied Industrial Base Explorer (AI-generated, checked against the data)</dc:creator>
  <cp:keywords>energy security; economic opportunity; Strategic Index; Partnership Strength Index; CAN</cp:keywords>
  <dc:description>paper baseline as of 12 October 2026; fact sheet sha256 62b7ca8ea25c13a211cdc0583b69e252e5a40861a4d2ab984b5b7dfd27bd5aab</dc:description>
  <cp:lastModifiedBy/>
  <cp:revision>1</cp:revision>
  <dcterms:created xsi:type="dcterms:W3CDTF">2013-12-23T23:15:00Z</dcterms:created>
  <dcterms:modified xsi:type="dcterms:W3CDTF">2013-12-23T23:15:00Z</dcterms:modified>
  <cp:category/>
</cp:coreProperties>
</file>