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Czech Republic: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The </w:t>
            </w:r>
            <w:r>
              <w:t>Czech Republic</w:t>
            </w:r>
            <w:r>
              <w:t xml:space="preserve"> is most exposed in </w:t>
            </w:r>
            <w:r>
              <w:t>upstream gas</w:t>
            </w:r>
            <w:r>
              <w:t xml:space="preserve">, </w:t>
            </w:r>
            <w:r>
              <w:t>downstream gas</w:t>
            </w:r>
            <w:r>
              <w:t xml:space="preserve"> and </w:t>
            </w:r>
            <w:r>
              <w:t>upstream electric grid</w:t>
            </w:r>
            <w:r>
              <w:t xml:space="preserve">, where its Energy Security is higher than only </w:t>
            </w:r>
            <w:r>
              <w:t>13%</w:t>
            </w:r>
            <w:r>
              <w:t xml:space="preserve">, </w:t>
            </w:r>
            <w:r>
              <w:t>16%</w:t>
            </w:r>
            <w:r>
              <w:t xml:space="preserve"> and </w:t>
            </w:r>
            <w:r>
              <w:t>28%</w:t>
            </w:r>
            <w:r>
              <w:t xml:space="preserve"> of the other economies scored. In </w:t>
            </w:r>
            <w:r>
              <w:t>upstream gas</w:t>
            </w:r>
            <w:r>
              <w:t>, import needs and the absence of recorded reserves pull the score down.</w:t>
            </w:r>
            <w:r>
              <w:rPr>
                <w:color w:val="4B5563"/>
                <w:vertAlign w:val="superscript"/>
              </w:rPr>
              <w:t>1</w:t>
            </w:r>
          </w:p>
          <w:p>
            <w:pPr>
              <w:pStyle w:val="ListBullet"/>
            </w:pPr>
            <w:r>
              <w:t xml:space="preserve">Its strongest openings are in </w:t>
            </w:r>
            <w:r>
              <w:t>midstream coal</w:t>
            </w:r>
            <w:r>
              <w:t xml:space="preserve">, </w:t>
            </w:r>
            <w:r>
              <w:t>midstream nuclear</w:t>
            </w:r>
            <w:r>
              <w:t xml:space="preserve"> and </w:t>
            </w:r>
            <w:r>
              <w:t>midstream oil</w:t>
            </w:r>
            <w:r>
              <w:t xml:space="preserve">, where its Economic Opportunity is higher than </w:t>
            </w:r>
            <w:r>
              <w:t>98%</w:t>
            </w:r>
            <w:r>
              <w:t xml:space="preserve">, </w:t>
            </w:r>
            <w:r>
              <w:t>97%</w:t>
            </w:r>
            <w:r>
              <w:t xml:space="preserve"> and </w:t>
            </w:r>
            <w:r>
              <w:t>96%</w:t>
            </w:r>
            <w:r>
              <w:t xml:space="preserve"> of the other economies scored.</w:t>
            </w:r>
            <w:r>
              <w:rPr>
                <w:color w:val="4B5563"/>
                <w:vertAlign w:val="superscript"/>
              </w:rPr>
              <w:t>1</w:t>
            </w:r>
          </w:p>
          <w:p>
            <w:pPr>
              <w:pStyle w:val="ListBullet"/>
            </w:pPr>
            <w:r>
              <w:t xml:space="preserve">On the paper's weighting, the Strategic Index ranks </w:t>
            </w:r>
            <w:r>
              <w:t>downstream solar</w:t>
            </w:r>
            <w:r>
              <w:t xml:space="preserve"> </w:t>
            </w:r>
            <w:r>
              <w:t>1st</w:t>
            </w:r>
            <w:r>
              <w:t xml:space="preserve"> among the </w:t>
            </w:r>
            <w:r>
              <w:t>Czech Republic</w:t>
            </w:r>
            <w:r>
              <w:t xml:space="preserve">'s own sectors; it is among the sectors with the </w:t>
            </w:r>
            <w:r>
              <w:t>most policy</w:t>
            </w:r>
            <w:r>
              <w:t>.</w:t>
            </w:r>
            <w:r>
              <w:rPr>
                <w:color w:val="4B5563"/>
                <w:vertAlign w:val="superscript"/>
              </w:rPr>
              <w:t>1</w:t>
            </w:r>
          </w:p>
          <w:p>
            <w:pPr>
              <w:pStyle w:val="ListBullet"/>
            </w:pPr>
            <w:r>
              <w:t xml:space="preserve">The Partnership Strength Index rates </w:t>
            </w:r>
            <w:r>
              <w:t>Germany</w:t>
            </w:r>
            <w:r>
              <w:t xml:space="preserve"> highest for the </w:t>
            </w:r>
            <w:r>
              <w:t>Czech Republic</w:t>
            </w:r>
            <w:r>
              <w:t xml:space="preserve">, above all as an </w:t>
            </w:r>
            <w:r>
              <w:t>export market</w:t>
            </w:r>
            <w:r>
              <w:t xml:space="preserve">, and it is also the </w:t>
            </w:r>
            <w:r>
              <w:t>Czech Republic</w:t>
            </w:r>
            <w:r>
              <w:t xml:space="preserve">'s </w:t>
            </w:r>
            <w:r>
              <w:t>1st</w:t>
            </w:r>
            <w:r>
              <w:t xml:space="preserve"> trade partner. </w:t>
            </w:r>
            <w:r>
              <w:t>China</w:t>
            </w:r>
            <w:r>
              <w:t xml:space="preserve">, its </w:t>
            </w:r>
            <w:r>
              <w:t>3rd</w:t>
            </w:r>
            <w:r>
              <w:t xml:space="preserve"> trade partner, ranks </w:t>
            </w:r>
            <w:r>
              <w:t>43rd</w:t>
            </w:r>
            <w:r>
              <w:t xml:space="preserve"> on Partnership Strength.</w:t>
            </w:r>
            <w:r>
              <w:rPr>
                <w:color w:val="4B5563"/>
                <w:vertAlign w:val="superscript"/>
              </w:rPr>
              <w:t>1,2</w:t>
            </w:r>
          </w:p>
        </w:tc>
      </w:tr>
    </w:tbl>
    <w:p/>
    <w:p>
      <w:pPr>
        <w:pStyle w:val="Heading1"/>
      </w:pPr>
      <w:r>
        <w:t>1. Energy security risks and why</w:t>
      </w:r>
    </w:p>
    <w:p>
      <w:r>
        <w:t>7</w:t>
      </w:r>
      <w:r>
        <w:t xml:space="preserve"> of the </w:t>
      </w:r>
      <w:r>
        <w:t>Czech Republic</w:t>
      </w:r>
      <w:r>
        <w:t xml:space="preserve">'s </w:t>
      </w:r>
      <w:r>
        <w:t>30</w:t>
      </w:r>
      <w:r>
        <w:t xml:space="preserve"> placed sectors, those where both scores can be compared with other economies, sit in the two low-energy-security corners. Energy Security measures how well a country can rely on what it needs. Compared with other economies, its Energy Security is lowest in </w:t>
      </w:r>
      <w:r>
        <w:t>upstream gas</w:t>
      </w:r>
      <w:r>
        <w:t xml:space="preserve"> (</w:t>
      </w:r>
      <w:r>
        <w:t>0.26</w:t>
      </w:r>
      <w:r>
        <w:t xml:space="preserve">), </w:t>
      </w:r>
      <w:r>
        <w:t>downstream gas</w:t>
      </w:r>
      <w:r>
        <w:t xml:space="preserve"> (</w:t>
      </w:r>
      <w:r>
        <w:t>0.40</w:t>
      </w:r>
      <w:r>
        <w:t xml:space="preserve">) and </w:t>
      </w:r>
      <w:r>
        <w:t>upstream electric grid</w:t>
      </w:r>
      <w:r>
        <w:t xml:space="preserve"> (</w:t>
      </w:r>
      <w:r>
        <w:t>0.33</w:t>
      </w:r>
      <w:r>
        <w:t xml:space="preserve">), all in the </w:t>
      </w:r>
      <w:r>
        <w:t>Upgrade</w:t>
      </w:r>
      <w:r>
        <w:t xml:space="preserve"> corner, which pairs high opportunity with low energy security. These scores are higher than only </w:t>
      </w:r>
      <w:r>
        <w:t>13%</w:t>
      </w:r>
      <w:r>
        <w:t xml:space="preserve">, </w:t>
      </w:r>
      <w:r>
        <w:t>16%</w:t>
      </w:r>
      <w:r>
        <w:t xml:space="preserve"> and </w:t>
      </w:r>
      <w:r>
        <w:t>28%</w:t>
      </w:r>
      <w:r>
        <w:t xml:space="preserve"> of the other </w:t>
      </w:r>
      <w:r>
        <w:t>97</w:t>
      </w:r>
      <w:r>
        <w:t xml:space="preserve">, </w:t>
      </w:r>
      <w:r>
        <w:t>98</w:t>
      </w:r>
      <w:r>
        <w:t xml:space="preserve"> and </w:t>
      </w:r>
      <w:r>
        <w:t>93</w:t>
      </w:r>
      <w:r>
        <w:t xml:space="preserve"> economies scored in each sector.</w:t>
      </w:r>
      <w:r>
        <w:rPr>
          <w:color w:val="4B5563"/>
          <w:vertAlign w:val="superscript"/>
        </w:rPr>
        <w:t>1</w:t>
      </w:r>
    </w:p>
    <w:p>
      <w:r>
        <w:t xml:space="preserve">In </w:t>
      </w:r>
      <w:r>
        <w:t>upstream gas</w:t>
      </w:r>
      <w:r>
        <w:t xml:space="preserve">, the score is low mainly because of import needs and reserves. Gas production minus consumption was </w:t>
      </w:r>
      <w:r>
        <w:t>-0.25 EJ</w:t>
      </w:r>
      <w:r>
        <w:t xml:space="preserve"> in </w:t>
      </w:r>
      <w:r>
        <w:t>2025</w:t>
      </w:r>
      <w:r>
        <w:t xml:space="preserve"> (</w:t>
      </w:r>
      <w:r>
        <w:t>production from the U.S. Energy Information Administration's international statistics, as the Energy Institute does not report it separately</w:t>
      </w:r>
      <w:r>
        <w:t xml:space="preserve">). Its reserves score is </w:t>
      </w:r>
      <w:r>
        <w:t>0.00</w:t>
      </w:r>
      <w:r>
        <w:t xml:space="preserve"> against a median of </w:t>
      </w:r>
      <w:r>
        <w:t>0.18</w:t>
      </w:r>
      <w:r>
        <w:t xml:space="preserve">: no proved gas reserves are recorded, which the index counts as zero. For context, its largest suppliers in this sector in </w:t>
      </w:r>
      <w:r>
        <w:t>2024</w:t>
      </w:r>
      <w:r>
        <w:t xml:space="preserve"> were </w:t>
      </w:r>
      <w:r>
        <w:t>Norway</w:t>
      </w:r>
      <w:r>
        <w:t xml:space="preserve"> (</w:t>
      </w:r>
      <w:r>
        <w:t>65.2%</w:t>
      </w:r>
      <w:r>
        <w:t xml:space="preserve"> of imports worth </w:t>
      </w:r>
      <w:r>
        <w:t>USD 2.88 bn</w:t>
      </w:r>
      <w:r>
        <w:t xml:space="preserve">) and </w:t>
      </w:r>
      <w:r>
        <w:t>Russia</w:t>
      </w:r>
      <w:r>
        <w:t xml:space="preserve"> (</w:t>
      </w:r>
      <w:r>
        <w:t>31.2%</w:t>
      </w:r>
      <w:r>
        <w:t>).</w:t>
      </w:r>
      <w:r>
        <w:rPr>
          <w:color w:val="4B5563"/>
          <w:vertAlign w:val="superscript"/>
        </w:rPr>
        <w:t>1,2,3,4</w:t>
      </w:r>
    </w:p>
    <w:p>
      <w:r>
        <w:t xml:space="preserve">In </w:t>
      </w:r>
      <w:r>
        <w:t>downstream gas</w:t>
      </w:r>
      <w:r>
        <w:t xml:space="preserve">, energy access pulls the score down: gas consumption was </w:t>
      </w:r>
      <w:r>
        <w:t>24.2 GJ per person</w:t>
      </w:r>
      <w:r>
        <w:t xml:space="preserve"> in </w:t>
      </w:r>
      <w:r>
        <w:t>2025</w:t>
      </w:r>
      <w:r>
        <w:t xml:space="preserve">, after a change of </w:t>
      </w:r>
      <w:r>
        <w:t>-16.1%</w:t>
      </w:r>
      <w:r>
        <w:t xml:space="preserve">. In </w:t>
      </w:r>
      <w:r>
        <w:t>upstream electric grid</w:t>
      </w:r>
      <w:r>
        <w:t xml:space="preserve">, trade pulls it down: on the trade deficit in these goods as a share of the economy, the </w:t>
      </w:r>
      <w:r>
        <w:t>Czech Republic</w:t>
      </w:r>
      <w:r>
        <w:t xml:space="preserve"> scores higher than only </w:t>
      </w:r>
      <w:r>
        <w:t>17%</w:t>
      </w:r>
      <w:r>
        <w:t xml:space="preserve"> of the other economies.</w:t>
      </w:r>
      <w:r>
        <w:rPr>
          <w:color w:val="4B5563"/>
          <w:vertAlign w:val="superscript"/>
        </w:rPr>
        <w:t>1,3</w:t>
      </w:r>
    </w:p>
    <w:p>
      <w:r>
        <w:t xml:space="preserve">The high-priority sectors, taken from the </w:t>
      </w:r>
      <w:r>
        <w:t>Upgrade</w:t>
      </w:r>
      <w:r>
        <w:t xml:space="preserve"> corner in Strategic Index order, are </w:t>
      </w:r>
      <w:r>
        <w:t>downstream solar, upstream electric grid and upstream electric vehicles</w:t>
      </w:r>
      <w:r>
        <w:t xml:space="preserve">. In </w:t>
      </w:r>
      <w:r>
        <w:t>downstream solar</w:t>
      </w:r>
      <w:r>
        <w:t xml:space="preserve">, which scores </w:t>
      </w:r>
      <w:r>
        <w:t>0.47</w:t>
      </w:r>
      <w:r>
        <w:t xml:space="preserve"> on Energy Security, the reserves category, here solar resource potential, pulls the score down: on that measure it scores higher than only </w:t>
      </w:r>
      <w:r>
        <w:t>12%</w:t>
      </w:r>
      <w:r>
        <w:t xml:space="preserve"> of the other economies.</w:t>
      </w:r>
      <w:r>
        <w:rPr>
          <w:color w:val="4B5563"/>
          <w:vertAlign w:val="superscript"/>
        </w:rPr>
        <w:t>1</w:t>
      </w:r>
    </w:p>
    <w:p>
      <w:pPr>
        <w:pStyle w:val="Heading1"/>
      </w:pPr>
      <w:r>
        <w:t>2. Economic opportunities and why</w:t>
      </w:r>
    </w:p>
    <w:p>
      <w:r>
        <w:t>27</w:t>
      </w:r>
      <w:r>
        <w:t xml:space="preserve"> of the </w:t>
      </w:r>
      <w:r>
        <w:t>30</w:t>
      </w:r>
      <w:r>
        <w:t xml:space="preserve"> placed sectors sit in the two high-opportunity corners, where Economic Opportunity, how well placed a country is to create value, is at or above the sector median. Compared with other economies, its Economic Opportunity is highest in </w:t>
      </w:r>
      <w:r>
        <w:t>midstream coal</w:t>
      </w:r>
      <w:r>
        <w:t xml:space="preserve">, </w:t>
      </w:r>
      <w:r>
        <w:t>midstream nuclear</w:t>
      </w:r>
      <w:r>
        <w:t xml:space="preserve"> and </w:t>
      </w:r>
      <w:r>
        <w:t>midstream oil</w:t>
      </w:r>
      <w:r>
        <w:t xml:space="preserve">, all in the </w:t>
      </w:r>
      <w:r>
        <w:t>Grow</w:t>
      </w:r>
      <w:r>
        <w:t xml:space="preserve"> corner. These scores are higher than </w:t>
      </w:r>
      <w:r>
        <w:t>98%</w:t>
      </w:r>
      <w:r>
        <w:t xml:space="preserve">, </w:t>
      </w:r>
      <w:r>
        <w:t>97%</w:t>
      </w:r>
      <w:r>
        <w:t xml:space="preserve"> and </w:t>
      </w:r>
      <w:r>
        <w:t>96%</w:t>
      </w:r>
      <w:r>
        <w:t xml:space="preserve"> of the other </w:t>
      </w:r>
      <w:r>
        <w:t>154</w:t>
      </w:r>
      <w:r>
        <w:t xml:space="preserve">, </w:t>
      </w:r>
      <w:r>
        <w:t>153</w:t>
      </w:r>
      <w:r>
        <w:t xml:space="preserve"> and </w:t>
      </w:r>
      <w:r>
        <w:t>155</w:t>
      </w:r>
      <w:r>
        <w:t xml:space="preserve"> economies scored.</w:t>
      </w:r>
      <w:r>
        <w:rPr>
          <w:color w:val="4B5563"/>
          <w:vertAlign w:val="superscript"/>
        </w:rPr>
        <w:t>1</w:t>
      </w:r>
    </w:p>
    <w:p>
      <w:r>
        <w:t xml:space="preserve">In all of them, trade and cost competitiveness push the score up. Exports of these goods were </w:t>
      </w:r>
      <w:r>
        <w:t>USD 519 m</w:t>
      </w:r>
      <w:r>
        <w:t xml:space="preserve">, </w:t>
      </w:r>
      <w:r>
        <w:t>USD 266 m</w:t>
      </w:r>
      <w:r>
        <w:t xml:space="preserve"> and </w:t>
      </w:r>
      <w:r>
        <w:t>USD 1.43 bn</w:t>
      </w:r>
      <w:r>
        <w:t xml:space="preserve"> in </w:t>
      </w:r>
      <w:r>
        <w:t>2024</w:t>
      </w:r>
      <w:r>
        <w:t xml:space="preserve">. On input costs of labour and capital, the </w:t>
      </w:r>
      <w:r>
        <w:t>Czech Republic</w:t>
      </w:r>
      <w:r>
        <w:t xml:space="preserve"> scores higher than </w:t>
      </w:r>
      <w:r>
        <w:t>88%</w:t>
      </w:r>
      <w:r>
        <w:t xml:space="preserve">, </w:t>
      </w:r>
      <w:r>
        <w:t>90%</w:t>
      </w:r>
      <w:r>
        <w:t xml:space="preserve"> and </w:t>
      </w:r>
      <w:r>
        <w:t>91%</w:t>
      </w:r>
      <w:r>
        <w:t xml:space="preserve"> of the other economies. For context, the largest markets for its </w:t>
      </w:r>
      <w:r>
        <w:t>midstream coal</w:t>
      </w:r>
      <w:r>
        <w:t xml:space="preserve"> exports in </w:t>
      </w:r>
      <w:r>
        <w:t>2024</w:t>
      </w:r>
      <w:r>
        <w:t xml:space="preserve"> were </w:t>
      </w:r>
      <w:r>
        <w:t>Germany</w:t>
      </w:r>
      <w:r>
        <w:t xml:space="preserve"> (</w:t>
      </w:r>
      <w:r>
        <w:t>28.9%</w:t>
      </w:r>
      <w:r>
        <w:t xml:space="preserve">), </w:t>
      </w:r>
      <w:r>
        <w:t>Poland</w:t>
      </w:r>
      <w:r>
        <w:t xml:space="preserve"> (</w:t>
      </w:r>
      <w:r>
        <w:t>12.4%</w:t>
      </w:r>
      <w:r>
        <w:t xml:space="preserve">) and </w:t>
      </w:r>
      <w:r>
        <w:t>Turkiye</w:t>
      </w:r>
      <w:r>
        <w:t xml:space="preserve"> (</w:t>
      </w:r>
      <w:r>
        <w:t>7.5%</w:t>
      </w:r>
      <w:r>
        <w:t>).</w:t>
      </w:r>
      <w:r>
        <w:rPr>
          <w:color w:val="4B5563"/>
          <w:vertAlign w:val="superscript"/>
        </w:rPr>
        <w:t>1,2,5</w:t>
      </w:r>
    </w:p>
    <w:p>
      <w:r>
        <w:t xml:space="preserve">Among the high-priority sectors, </w:t>
      </w:r>
      <w:r>
        <w:t>downstream solar</w:t>
      </w:r>
      <w:r>
        <w:t xml:space="preserve"> has Economic Opportunity higher than </w:t>
      </w:r>
      <w:r>
        <w:t>82%</w:t>
      </w:r>
      <w:r>
        <w:t xml:space="preserve"> of the other </w:t>
      </w:r>
      <w:r>
        <w:t>147</w:t>
      </w:r>
      <w:r>
        <w:t xml:space="preserve"> economies scored. Cost competitiveness and investment push it up: on input costs it scores higher than </w:t>
      </w:r>
      <w:r>
        <w:t>95%</w:t>
      </w:r>
      <w:r>
        <w:t xml:space="preserve"> of the other economies, and on annual investment higher than </w:t>
      </w:r>
      <w:r>
        <w:t>76%</w:t>
      </w:r>
      <w:r>
        <w:t>.</w:t>
      </w:r>
      <w:r>
        <w:rPr>
          <w:color w:val="4B5563"/>
          <w:vertAlign w:val="superscript"/>
        </w:rPr>
        <w:t>1</w:t>
      </w:r>
    </w:p>
    <w:p>
      <w:pPr>
        <w:pStyle w:val="Heading1"/>
      </w:pPr>
      <w:r>
        <w:t>3. Sectoral priorities and the existing policy posture</w:t>
      </w:r>
    </w:p>
    <w:p>
      <w:r>
        <w:t xml:space="preserve">The Strategic Index ranks a country's own sectors by opportunity, security need, policy activity, stage and low-emission value. On the paper's weighting, it puts </w:t>
      </w:r>
      <w:r>
        <w:t>downstream solar</w:t>
      </w:r>
      <w:r>
        <w:t xml:space="preserve"> </w:t>
      </w:r>
      <w:r>
        <w:t>1st</w:t>
      </w:r>
      <w:r>
        <w:t xml:space="preserve">, </w:t>
      </w:r>
      <w:r>
        <w:t>upstream wind</w:t>
      </w:r>
      <w:r>
        <w:t xml:space="preserve"> </w:t>
      </w:r>
      <w:r>
        <w:t>2nd</w:t>
      </w:r>
      <w:r>
        <w:t xml:space="preserve">, </w:t>
      </w:r>
      <w:r>
        <w:t>upstream solar</w:t>
      </w:r>
      <w:r>
        <w:t xml:space="preserve"> </w:t>
      </w:r>
      <w:r>
        <w:t>3rd</w:t>
      </w:r>
      <w:r>
        <w:t xml:space="preserve">, </w:t>
      </w:r>
      <w:r>
        <w:t>upstream batteries</w:t>
      </w:r>
      <w:r>
        <w:t xml:space="preserve"> </w:t>
      </w:r>
      <w:r>
        <w:t>4th</w:t>
      </w:r>
      <w:r>
        <w:t xml:space="preserve"> and </w:t>
      </w:r>
      <w:r>
        <w:t>upstream electric grid</w:t>
      </w:r>
      <w:r>
        <w:t xml:space="preserve"> </w:t>
      </w:r>
      <w:r>
        <w:t>5th</w:t>
      </w:r>
      <w:r>
        <w:t xml:space="preserve"> among the </w:t>
      </w:r>
      <w:r>
        <w:t>Czech Republic</w:t>
      </w:r>
      <w:r>
        <w:t xml:space="preserve">'s own sectors. The score of </w:t>
      </w:r>
      <w:r>
        <w:t>downstream solar</w:t>
      </w:r>
      <w:r>
        <w:t xml:space="preserve"> is </w:t>
      </w:r>
      <w:r>
        <w:t>0.66</w:t>
      </w:r>
      <w:r>
        <w:t xml:space="preserve">, </w:t>
      </w:r>
      <w:r>
        <w:t>0.016</w:t>
      </w:r>
      <w:r>
        <w:t xml:space="preserve"> ahead of the next sector; the next are almost tied (gaps of </w:t>
      </w:r>
      <w:r>
        <w:t>0.004</w:t>
      </w:r>
      <w:r>
        <w:t xml:space="preserve">, </w:t>
      </w:r>
      <w:r>
        <w:t>0.000</w:t>
      </w:r>
      <w:r>
        <w:t xml:space="preserve">, </w:t>
      </w:r>
      <w:r>
        <w:t>0.003</w:t>
      </w:r>
      <w:r>
        <w:t xml:space="preserve"> and </w:t>
      </w:r>
      <w:r>
        <w:t>0.000</w:t>
      </w:r>
      <w:r>
        <w:t xml:space="preserve">). Policy activity carries its lead: its policy part adds </w:t>
      </w:r>
      <w:r>
        <w:t>0.200</w:t>
      </w:r>
      <w:r>
        <w:t xml:space="preserve">, against </w:t>
      </w:r>
      <w:r>
        <w:t>0.176</w:t>
      </w:r>
      <w:r>
        <w:t xml:space="preserve"> for opportunity and </w:t>
      </w:r>
      <w:r>
        <w:t>0.158</w:t>
      </w:r>
      <w:r>
        <w:t xml:space="preserve"> for security need. On data-based priority, the Strategic Index without that part, it would fall to the </w:t>
      </w:r>
      <w:r>
        <w:t>middle third</w:t>
      </w:r>
      <w:r>
        <w:t xml:space="preserve">. It sits in the </w:t>
      </w:r>
      <w:r>
        <w:t>Upgrade</w:t>
      </w:r>
      <w:r>
        <w:t xml:space="preserve"> corner, which the paper's framework associates with building domestic capability.</w:t>
      </w:r>
      <w:r>
        <w:rPr>
          <w:color w:val="4B5563"/>
          <w:vertAlign w:val="superscript"/>
        </w:rPr>
        <w:t>1</w:t>
      </w:r>
    </w:p>
    <w:p>
      <w:r>
        <w:t xml:space="preserve">The </w:t>
      </w:r>
      <w:r>
        <w:t>Czech Republic</w:t>
      </w:r>
      <w:r>
        <w:t xml:space="preserve">'s allied pick, its top upstream or midstream sector after a screen for a recorded resource base, is </w:t>
      </w:r>
      <w:r>
        <w:t>midstream nuclear</w:t>
      </w:r>
      <w:r>
        <w:t xml:space="preserve"> (</w:t>
      </w:r>
      <w:r>
        <w:t>0.63</w:t>
      </w:r>
      <w:r>
        <w:t xml:space="preserve">), almost tied with </w:t>
      </w:r>
      <w:r>
        <w:t>midstream solar</w:t>
      </w:r>
      <w:r>
        <w:t xml:space="preserve"> (</w:t>
      </w:r>
      <w:r>
        <w:t>0.007</w:t>
      </w:r>
      <w:r>
        <w:t xml:space="preserve"> apart). The screen removes </w:t>
      </w:r>
      <w:r>
        <w:t>upstream wind</w:t>
      </w:r>
      <w:r>
        <w:t xml:space="preserve">, </w:t>
      </w:r>
      <w:r>
        <w:t>upstream solar</w:t>
      </w:r>
      <w:r>
        <w:t xml:space="preserve">, </w:t>
      </w:r>
      <w:r>
        <w:t>upstream batteries</w:t>
      </w:r>
      <w:r>
        <w:t xml:space="preserve"> and </w:t>
      </w:r>
      <w:r>
        <w:t>upstream electric grid</w:t>
      </w:r>
      <w:r>
        <w:t>.</w:t>
      </w:r>
      <w:r>
        <w:rPr>
          <w:color w:val="4B5563"/>
          <w:vertAlign w:val="superscript"/>
        </w:rPr>
        <w:t>6</w:t>
      </w:r>
    </w:p>
    <w:p>
      <w:r>
        <w:t xml:space="preserve">Policy activity counts the International Energy Agency's Policies and Measures records and the Climate Action Tracker rating, which favours low-emission technologies over coal, oil and gas. Country Insights splits priority and policy activity into thirds; both are high in </w:t>
      </w:r>
      <w:r>
        <w:t>midstream nuclear, midstream batteries and midstream solar</w:t>
      </w:r>
      <w:r>
        <w:t xml:space="preserve">. No sector pairs high priority with the least policy; among high priorities, policy is weakest in </w:t>
      </w:r>
      <w:r>
        <w:t>upstream green hydrogen</w:t>
      </w:r>
      <w:r>
        <w:t xml:space="preserve"> (</w:t>
      </w:r>
      <w:r>
        <w:t>4th</w:t>
      </w:r>
      <w:r>
        <w:t xml:space="preserve"> on priority, </w:t>
      </w:r>
      <w:r>
        <w:t>19th</w:t>
      </w:r>
      <w:r>
        <w:t xml:space="preserve"> on policy). The reverse, low priority with the most policy, applies to </w:t>
      </w:r>
      <w:r>
        <w:t>downstream green hydrogen</w:t>
      </w:r>
      <w:r>
        <w:t xml:space="preserve">. The </w:t>
      </w:r>
      <w:r>
        <w:t>Czech Republic</w:t>
      </w:r>
      <w:r>
        <w:t xml:space="preserve"> carries the Climate Action Tracker rating </w:t>
      </w:r>
      <w:r>
        <w:t>Insufficient</w:t>
      </w:r>
      <w:r>
        <w:t xml:space="preserve"> (</w:t>
      </w:r>
      <w:r>
        <w:t>November 2024</w:t>
      </w:r>
      <w:r>
        <w:t xml:space="preserve">) and has </w:t>
      </w:r>
      <w:r>
        <w:t>127</w:t>
      </w:r>
      <w:r>
        <w:t xml:space="preserve"> Policies and Measures records.</w:t>
      </w:r>
      <w:r>
        <w:rPr>
          <w:color w:val="4B5563"/>
          <w:vertAlign w:val="superscript"/>
        </w:rPr>
        <w:t>1,7,8</w:t>
      </w:r>
    </w:p>
    <w:p>
      <w:pPr>
        <w:pStyle w:val="Heading1"/>
      </w:pPr>
      <w:r>
        <w:t>4. Partnership priorities and why</w:t>
      </w:r>
    </w:p>
    <w:p>
      <w:r>
        <w:t xml:space="preserve">The Partnership Strength Index rates partners as suppliers (Friendshore), as export markets (Partnership Opportunity) and, for middle- and lower-income partners, by Development Potential. From the </w:t>
      </w:r>
      <w:r>
        <w:t>Czech Republic</w:t>
      </w:r>
      <w:r>
        <w:t xml:space="preserve">'s viewpoint it ranks </w:t>
      </w:r>
      <w:r>
        <w:t>Germany</w:t>
      </w:r>
      <w:r>
        <w:t xml:space="preserve"> </w:t>
      </w:r>
      <w:r>
        <w:t>1st</w:t>
      </w:r>
      <w:r>
        <w:t xml:space="preserve">, the </w:t>
      </w:r>
      <w:r>
        <w:t>United Kingdom</w:t>
      </w:r>
      <w:r>
        <w:t xml:space="preserve"> </w:t>
      </w:r>
      <w:r>
        <w:t>2nd</w:t>
      </w:r>
      <w:r>
        <w:t xml:space="preserve">, the </w:t>
      </w:r>
      <w:r>
        <w:t>United States</w:t>
      </w:r>
      <w:r>
        <w:t xml:space="preserve"> </w:t>
      </w:r>
      <w:r>
        <w:t>3rd</w:t>
      </w:r>
      <w:r>
        <w:t xml:space="preserve">, the </w:t>
      </w:r>
      <w:r>
        <w:t>Slovak Republic</w:t>
      </w:r>
      <w:r>
        <w:t xml:space="preserve"> </w:t>
      </w:r>
      <w:r>
        <w:t>4th</w:t>
      </w:r>
      <w:r>
        <w:t xml:space="preserve"> and </w:t>
      </w:r>
      <w:r>
        <w:t>Poland</w:t>
      </w:r>
      <w:r>
        <w:t xml:space="preserve"> </w:t>
      </w:r>
      <w:r>
        <w:t>5th</w:t>
      </w:r>
      <w:r>
        <w:t xml:space="preserve"> of </w:t>
      </w:r>
      <w:r>
        <w:t>193</w:t>
      </w:r>
      <w:r>
        <w:t xml:space="preserve"> partners. </w:t>
      </w:r>
      <w:r>
        <w:t>Germany</w:t>
      </w:r>
      <w:r>
        <w:t xml:space="preserve"> and the </w:t>
      </w:r>
      <w:r>
        <w:t>United Kingdom</w:t>
      </w:r>
      <w:r>
        <w:t xml:space="preserve"> score best as an </w:t>
      </w:r>
      <w:r>
        <w:t>export market</w:t>
      </w:r>
      <w:r>
        <w:t xml:space="preserve">; the best sectors for </w:t>
      </w:r>
      <w:r>
        <w:t>Germany</w:t>
      </w:r>
      <w:r>
        <w:t xml:space="preserve"> include </w:t>
      </w:r>
      <w:r>
        <w:t>midstream electric grid, upstream solar, midstream wind, midstream coal and midstream batteries</w:t>
      </w:r>
      <w:r>
        <w:t xml:space="preserve">. The </w:t>
      </w:r>
      <w:r>
        <w:t>United States</w:t>
      </w:r>
      <w:r>
        <w:t xml:space="preserve">, the </w:t>
      </w:r>
      <w:r>
        <w:t>Slovak Republic</w:t>
      </w:r>
      <w:r>
        <w:t xml:space="preserve"> and </w:t>
      </w:r>
      <w:r>
        <w:t>Poland</w:t>
      </w:r>
      <w:r>
        <w:t xml:space="preserve"> score best as a </w:t>
      </w:r>
      <w:r>
        <w:t>reliable supplier</w:t>
      </w:r>
      <w:r>
        <w:t>.</w:t>
      </w:r>
      <w:r>
        <w:rPr>
          <w:color w:val="4B5563"/>
          <w:vertAlign w:val="superscript"/>
        </w:rPr>
        <w:t>1</w:t>
      </w:r>
    </w:p>
    <w:p>
      <w:r>
        <w:t>Germany</w:t>
      </w:r>
      <w:r>
        <w:t xml:space="preserve"> is also the </w:t>
      </w:r>
      <w:r>
        <w:t>Czech Republic</w:t>
      </w:r>
      <w:r>
        <w:t xml:space="preserve">'s </w:t>
      </w:r>
      <w:r>
        <w:t>1st</w:t>
      </w:r>
      <w:r>
        <w:t xml:space="preserve"> trade partner on average across its energy-goods baskets, </w:t>
      </w:r>
      <w:r>
        <w:t>Poland</w:t>
      </w:r>
      <w:r>
        <w:t xml:space="preserve"> its </w:t>
      </w:r>
      <w:r>
        <w:t>2nd</w:t>
      </w:r>
      <w:r>
        <w:t xml:space="preserve">, the </w:t>
      </w:r>
      <w:r>
        <w:t>Slovak Republic</w:t>
      </w:r>
      <w:r>
        <w:t xml:space="preserve"> its </w:t>
      </w:r>
      <w:r>
        <w:t>4th</w:t>
      </w:r>
      <w:r>
        <w:t xml:space="preserve">, the </w:t>
      </w:r>
      <w:r>
        <w:t>United Kingdom</w:t>
      </w:r>
      <w:r>
        <w:t xml:space="preserve"> its </w:t>
      </w:r>
      <w:r>
        <w:t>5th</w:t>
      </w:r>
      <w:r>
        <w:t xml:space="preserve"> and the </w:t>
      </w:r>
      <w:r>
        <w:t>United States</w:t>
      </w:r>
      <w:r>
        <w:t xml:space="preserve"> its </w:t>
      </w:r>
      <w:r>
        <w:t>6th</w:t>
      </w:r>
      <w:r>
        <w:t xml:space="preserve">. Each of them is </w:t>
      </w:r>
      <w:r>
        <w:t>a priority partner with strong ties today</w:t>
      </w:r>
      <w:r>
        <w:t xml:space="preserve">, shares membership of </w:t>
      </w:r>
      <w:r>
        <w:t>NATO</w:t>
      </w:r>
      <w:r>
        <w:t xml:space="preserve"> with the </w:t>
      </w:r>
      <w:r>
        <w:t>Czech Republic</w:t>
      </w:r>
      <w:r>
        <w:t xml:space="preserve"> and sits in the </w:t>
      </w:r>
      <w:r>
        <w:t>same bloc</w:t>
      </w:r>
      <w:r>
        <w:t xml:space="preserve"> in UN votes. By contrast, </w:t>
      </w:r>
      <w:r>
        <w:t>China</w:t>
      </w:r>
      <w:r>
        <w:t xml:space="preserve">, its </w:t>
      </w:r>
      <w:r>
        <w:t>3rd</w:t>
      </w:r>
      <w:r>
        <w:t xml:space="preserve"> trade partner, ranks </w:t>
      </w:r>
      <w:r>
        <w:t>43rd</w:t>
      </w:r>
      <w:r>
        <w:t xml:space="preserve"> on Partnership Strength, and </w:t>
      </w:r>
      <w:r>
        <w:t>Russia</w:t>
      </w:r>
      <w:r>
        <w:t xml:space="preserve">, its </w:t>
      </w:r>
      <w:r>
        <w:t>7th</w:t>
      </w:r>
      <w:r>
        <w:t xml:space="preserve">, ranks </w:t>
      </w:r>
      <w:r>
        <w:t>82nd</w:t>
      </w:r>
      <w:r>
        <w:t xml:space="preserve">. In UN votes, the </w:t>
      </w:r>
      <w:r>
        <w:t>Czech Republic</w:t>
      </w:r>
      <w:r>
        <w:t xml:space="preserve"> and each of them sit in </w:t>
      </w:r>
      <w:r>
        <w:t>opposite blocs</w:t>
      </w:r>
      <w:r>
        <w:t>.</w:t>
      </w:r>
      <w:r>
        <w:rPr>
          <w:color w:val="4B5563"/>
          <w:vertAlign w:val="superscript"/>
        </w:rPr>
        <w:t>1,2,9,10</w:t>
      </w:r>
    </w:p>
    <w:p>
      <w:r>
        <w:t xml:space="preserve">As a partner to the coalition, the </w:t>
      </w:r>
      <w:r>
        <w:t>Czech Republic</w:t>
      </w:r>
      <w:r>
        <w:t xml:space="preserve"> ranks </w:t>
      </w:r>
      <w:r>
        <w:t>10th</w:t>
      </w:r>
      <w:r>
        <w:t xml:space="preserve"> of </w:t>
      </w:r>
      <w:r>
        <w:t>192</w:t>
      </w:r>
      <w:r>
        <w:t xml:space="preserve"> economies on Partnership Strength averaged over the core members' viewpoints. In the allied network design, which spreads production of each upstream and midstream sector across coalition members, its largest derived share is </w:t>
      </w:r>
      <w:r>
        <w:t>1.3%</w:t>
      </w:r>
      <w:r>
        <w:t xml:space="preserve"> of </w:t>
      </w:r>
      <w:r>
        <w:t>midstream coal</w:t>
      </w:r>
      <w:r>
        <w:t>.</w:t>
      </w:r>
      <w:r>
        <w:rPr>
          <w:color w:val="4B5563"/>
          <w:vertAlign w:val="superscript"/>
        </w:rPr>
        <w:t>1,6</w:t>
      </w:r>
    </w:p>
    <w:p>
      <w:pPr>
        <w:pStyle w:val="Heading1"/>
      </w:pPr>
      <w:r>
        <w:t>5. Data notes and caveats</w:t>
      </w:r>
    </w:p>
    <w:p>
      <w:r>
        <w:t xml:space="preserve">Paper baseline: </w:t>
      </w:r>
      <w:r>
        <w:t>12 October 2026</w:t>
      </w:r>
      <w:r>
        <w:t xml:space="preserve">. </w:t>
      </w:r>
      <w:r>
        <w:t>Scores compare the Czech Republic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Some figures behind these scores are filled in where the source has no value: with zero where a source lists every holder, otherwise with the world average.</w:t>
      </w:r>
      <w:r>
        <w:t xml:space="preserve"> </w:t>
      </w:r>
      <w:r>
        <w:t>Strategic Index scores within 0.01 of each other are almost tied: small changes in the data or the weights can swap their order.</w:t>
      </w:r>
      <w:r>
        <w:t xml:space="preserve"> </w:t>
      </w:r>
      <w:r>
        <w:t>Many allied picks are close calls: in the paper, 37% of them are within 0.01 of the runner-up.</w:t>
      </w:r>
      <w:r>
        <w:t xml:space="preserve"> </w:t>
      </w:r>
      <w:r>
        <w:t>In the allied network design the European Union is one producer; the Czech Republic's shares are derived from its weight within the EU.</w:t>
      </w:r>
      <w:r>
        <w:t xml:space="preserve"> </w:t>
      </w:r>
      <w:r>
        <w:t>The Climate Action Tracker rates the EU as a whole; the Czech Republic carries the EU's rating.</w:t>
      </w:r>
      <w:r>
        <w:t xml:space="preserve"> </w:t>
      </w:r>
      <w:r>
        <w:t>The Czech Republic's counts leave out the EU's own 438 International Energy Agency policy records.</w:t>
      </w:r>
      <w:r>
        <w:t xml:space="preserve"> </w:t>
      </w:r>
      <w:r>
        <w:t>Trade figures count trade with other EU members.</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International Energy Agency, Policies and Measures Database (export of 2026-09-30); attribution; https://www.iea.org/policies.</w:t>
      </w:r>
    </w:p>
    <w:p>
      <w:pPr>
        <w:pStyle w:val="ListNumber"/>
      </w:pPr>
      <w:r>
        <w:rPr>
          <w:sz w:val="17"/>
        </w:rPr>
        <w:t>Climate Action Tracker, country ratings (ratings updated 2022-2025); attribution; https://climateactiontracker.org/.</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Czech Republic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Czech Republic: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CZE</cp:keywords>
  <dc:description>paper baseline as of 12 October 2026; fact sheet sha256 4f4afd4eedd39c9e2c14c8523774fa94dc8b6a27cffb1ba3ac0009bdd028a0c7</dc:description>
  <cp:lastModifiedBy/>
  <cp:revision>1</cp:revision>
  <dcterms:created xsi:type="dcterms:W3CDTF">2013-12-23T23:15:00Z</dcterms:created>
  <dcterms:modified xsi:type="dcterms:W3CDTF">2013-12-23T23:15:00Z</dcterms:modified>
  <cp:category/>
</cp:coreProperties>
</file>