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Germany: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paper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>5</w:t>
            </w:r>
            <w:r>
              <w:t xml:space="preserve"> of the </w:t>
            </w:r>
            <w:r>
              <w:t>30</w:t>
            </w:r>
            <w:r>
              <w:t xml:space="preserve"> placed sectors of Germany sit in the two low-energy-security corners. Its lowest Energy Security percentiles are in </w:t>
            </w:r>
            <w:r>
              <w:t>downstream nuclear</w:t>
            </w:r>
            <w:r>
              <w:t xml:space="preserve"> and </w:t>
            </w:r>
            <w:r>
              <w:t>downstream oil</w:t>
            </w:r>
            <w:r>
              <w:t>, where its consumption and energy-access measures pull the scores down.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Its highest Economic Opportunity percentiles are in </w:t>
            </w:r>
            <w:r>
              <w:t>downstream green hydrogen</w:t>
            </w:r>
            <w:r>
              <w:t xml:space="preserve"> and </w:t>
            </w:r>
            <w:r>
              <w:t>midstream gas</w:t>
            </w:r>
            <w:r>
              <w:t xml:space="preserve">, where it scores higher than </w:t>
            </w:r>
            <w:r>
              <w:t>99%</w:t>
            </w:r>
            <w:r>
              <w:t xml:space="preserve"> and </w:t>
            </w:r>
            <w:r>
              <w:t>98%</w:t>
            </w:r>
            <w:r>
              <w:t xml:space="preserve"> of the other economies scored.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On the paper's weighting, its top Strategic Index sector among its own sectors is </w:t>
            </w:r>
            <w:r>
              <w:t>downstream solar</w:t>
            </w:r>
            <w:r>
              <w:t xml:space="preserve">, almost tied with </w:t>
            </w:r>
            <w:r>
              <w:t>midstream green hydrogen</w:t>
            </w:r>
            <w:r>
              <w:t xml:space="preserve">. That sector ranks </w:t>
            </w:r>
            <w:r>
              <w:t>1st</w:t>
            </w:r>
            <w:r>
              <w:t xml:space="preserve"> on policy activity but only </w:t>
            </w:r>
            <w:r>
              <w:t>15th</w:t>
            </w:r>
            <w:r>
              <w:t xml:space="preserve"> without the policy term.</w:t>
            </w:r>
            <w:r>
              <w:rPr>
                <w:color w:val="4B5563"/>
                <w:vertAlign w:val="superscript"/>
              </w:rPr>
              <w:t>1,2</w:t>
            </w:r>
          </w:p>
          <w:p>
            <w:pPr>
              <w:pStyle w:val="ListBullet"/>
            </w:pPr>
            <w:r>
              <w:t xml:space="preserve">The Partnership Strength Index rates the </w:t>
            </w:r>
            <w:r>
              <w:t>United States</w:t>
            </w:r>
            <w:r>
              <w:t xml:space="preserve"> highest for Germany, as a </w:t>
            </w:r>
            <w:r>
              <w:t>reliable supplier</w:t>
            </w:r>
            <w:r>
              <w:t xml:space="preserve">. It is also </w:t>
            </w:r>
            <w:r>
              <w:t>a priority partner with strong ties today</w:t>
            </w:r>
            <w:r>
              <w:t xml:space="preserve">, unlike </w:t>
            </w:r>
            <w:r>
              <w:t>China</w:t>
            </w:r>
            <w:r>
              <w:t xml:space="preserve">, which is </w:t>
            </w:r>
            <w:r>
              <w:t>a strong tie today that the index ranks lower</w:t>
            </w:r>
            <w:r>
              <w:t>.</w:t>
            </w:r>
            <w:r>
              <w:rPr>
                <w:color w:val="4B5563"/>
                <w:vertAlign w:val="superscript"/>
              </w:rPr>
              <w:t>1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 xml:space="preserve">Of the </w:t>
      </w:r>
      <w:r>
        <w:t>30</w:t>
      </w:r>
      <w:r>
        <w:t xml:space="preserve"> placed sectors of Germany, </w:t>
      </w:r>
      <w:r>
        <w:t>5</w:t>
      </w:r>
      <w:r>
        <w:t xml:space="preserve"> sit in the two low-energy-security corners: </w:t>
      </w:r>
      <w:r>
        <w:t>1</w:t>
      </w:r>
      <w:r>
        <w:t xml:space="preserve"> in the Upgrade corner and </w:t>
      </w:r>
      <w:r>
        <w:t>4</w:t>
      </w:r>
      <w:r>
        <w:t xml:space="preserve"> in the Secure corner, which pairs low opportunity with low energy security.</w:t>
      </w:r>
      <w:r>
        <w:rPr>
          <w:color w:val="4B5563"/>
          <w:vertAlign w:val="superscript"/>
        </w:rPr>
        <w:t>1</w:t>
      </w:r>
    </w:p>
    <w:p>
      <w:r>
        <w:t xml:space="preserve">Its lowest Energy Security percentiles are in </w:t>
      </w:r>
      <w:r>
        <w:t>downstream nuclear</w:t>
      </w:r>
      <w:r>
        <w:t xml:space="preserve"> and </w:t>
      </w:r>
      <w:r>
        <w:t>downstream oil</w:t>
      </w:r>
      <w:r>
        <w:t xml:space="preserve">, both in the </w:t>
      </w:r>
      <w:r>
        <w:t>Secure</w:t>
      </w:r>
      <w:r>
        <w:t xml:space="preserve"> corner: it scores higher than </w:t>
      </w:r>
      <w:r>
        <w:t>0%</w:t>
      </w:r>
      <w:r>
        <w:t xml:space="preserve"> and </w:t>
      </w:r>
      <w:r>
        <w:t>2%</w:t>
      </w:r>
      <w:r>
        <w:t xml:space="preserve"> of the other </w:t>
      </w:r>
      <w:r>
        <w:t>66</w:t>
      </w:r>
      <w:r>
        <w:t xml:space="preserve"> and </w:t>
      </w:r>
      <w:r>
        <w:t>98</w:t>
      </w:r>
      <w:r>
        <w:t xml:space="preserve"> economies scored. In </w:t>
      </w:r>
      <w:r>
        <w:t>downstream nuclear</w:t>
      </w:r>
      <w:r>
        <w:t xml:space="preserve">, its </w:t>
      </w:r>
      <w:r>
        <w:t>consumption</w:t>
      </w:r>
      <w:r>
        <w:t xml:space="preserve"> and </w:t>
      </w:r>
      <w:r>
        <w:t>energy access</w:t>
      </w:r>
      <w:r>
        <w:t xml:space="preserve"> pull the score down. Its consumption in this sector was </w:t>
      </w:r>
      <w:r>
        <w:t>0 GJ per person</w:t>
      </w:r>
      <w:r>
        <w:t xml:space="preserve"> in </w:t>
      </w:r>
      <w:r>
        <w:t>2025</w:t>
      </w:r>
      <w:r>
        <w:t xml:space="preserve">, a change of </w:t>
      </w:r>
      <w:r>
        <w:t>-100.0%</w:t>
      </w:r>
      <w:r>
        <w:t xml:space="preserve">. Its </w:t>
      </w:r>
      <w:r>
        <w:t>growth in use per person to 2035</w:t>
      </w:r>
      <w:r>
        <w:t xml:space="preserve"> is not reported and is filled in with the world average; in all, </w:t>
      </w:r>
      <w:r>
        <w:t>45.8%</w:t>
      </w:r>
      <w:r>
        <w:t xml:space="preserve"> of the score's weight rests on filled-in data. In </w:t>
      </w:r>
      <w:r>
        <w:t>downstream oil</w:t>
      </w:r>
      <w:r>
        <w:t xml:space="preserve">, the same categories pull the score down. Its consumption per person changed by </w:t>
      </w:r>
      <w:r>
        <w:t>-5.2%</w:t>
      </w:r>
      <w:r>
        <w:t xml:space="preserve">, to </w:t>
      </w:r>
      <w:r>
        <w:t>49.9 GJ per person</w:t>
      </w:r>
      <w:r>
        <w:t xml:space="preserve"> in </w:t>
      </w:r>
      <w:r>
        <w:t>2025</w:t>
      </w:r>
      <w:r>
        <w:t xml:space="preserve">; on that change it scores higher than only </w:t>
      </w:r>
      <w:r>
        <w:t>7%</w:t>
      </w:r>
      <w:r>
        <w:t xml:space="preserve"> of the other economies.</w:t>
      </w:r>
      <w:r>
        <w:rPr>
          <w:color w:val="4B5563"/>
          <w:vertAlign w:val="superscript"/>
        </w:rPr>
        <w:t>1,3</w:t>
      </w:r>
    </w:p>
    <w:p>
      <w:r>
        <w:t xml:space="preserve">In </w:t>
      </w:r>
      <w:r>
        <w:t>upstream oil</w:t>
      </w:r>
      <w:r>
        <w:t xml:space="preserve"> and </w:t>
      </w:r>
      <w:r>
        <w:t>upstream gas</w:t>
      </w:r>
      <w:r>
        <w:t xml:space="preserve">, its </w:t>
      </w:r>
      <w:r>
        <w:t>energy imports</w:t>
      </w:r>
      <w:r>
        <w:t xml:space="preserve"> and </w:t>
      </w:r>
      <w:r>
        <w:t>reserves</w:t>
      </w:r>
      <w:r>
        <w:t xml:space="preserve"> pull the score down. Oil production minus consumption was </w:t>
      </w:r>
      <w:r>
        <w:t>-4.13 EJ</w:t>
      </w:r>
      <w:r>
        <w:t xml:space="preserve"> in </w:t>
      </w:r>
      <w:r>
        <w:t>2025</w:t>
      </w:r>
      <w:r>
        <w:t xml:space="preserve">, and no oil reserves are recorded, which the index counts as zero. That oil figure uses </w:t>
      </w:r>
      <w:r>
        <w:t>production from the U.S. Energy Information Administration's international statistics, as the Energy Institute does not report it separately</w:t>
      </w:r>
      <w:r>
        <w:t xml:space="preserve">. For gas, production minus consumption was </w:t>
      </w:r>
      <w:r>
        <w:t>-2.69 EJ</w:t>
      </w:r>
      <w:r>
        <w:t xml:space="preserve"> in </w:t>
      </w:r>
      <w:r>
        <w:t>2025</w:t>
      </w:r>
      <w:r>
        <w:t xml:space="preserve">, and proved reserves were </w:t>
      </w:r>
      <w:r>
        <w:t>0.0197 tn m3</w:t>
      </w:r>
      <w:r>
        <w:t xml:space="preserve"> in </w:t>
      </w:r>
      <w:r>
        <w:t>2020</w:t>
      </w:r>
      <w:r>
        <w:t>.</w:t>
      </w:r>
      <w:r>
        <w:rPr>
          <w:color w:val="4B5563"/>
          <w:vertAlign w:val="superscript"/>
        </w:rPr>
        <w:t>3,4</w:t>
      </w:r>
    </w:p>
    <w:p>
      <w:r>
        <w:t xml:space="preserve">Its high-priority sector, </w:t>
      </w:r>
      <w:r>
        <w:t>upstream gas</w:t>
      </w:r>
      <w:r>
        <w:t xml:space="preserve">, sits in the </w:t>
      </w:r>
      <w:r>
        <w:t>Upgrade</w:t>
      </w:r>
      <w:r>
        <w:t xml:space="preserve"> corner, with Energy Security higher than </w:t>
      </w:r>
      <w:r>
        <w:t>27%</w:t>
      </w:r>
      <w:r>
        <w:t xml:space="preserve"> of the other </w:t>
      </w:r>
      <w:r>
        <w:t>97</w:t>
      </w:r>
      <w:r>
        <w:t xml:space="preserve"> economies scored. For context, the bilateral trade data record </w:t>
      </w:r>
      <w:r>
        <w:t>USD 840 m</w:t>
      </w:r>
      <w:r>
        <w:t xml:space="preserve"> of imports of these goods in </w:t>
      </w:r>
      <w:r>
        <w:t>2024</w:t>
      </w:r>
      <w:r>
        <w:t xml:space="preserve">: </w:t>
      </w:r>
      <w:r>
        <w:t>37.1%</w:t>
      </w:r>
      <w:r>
        <w:t xml:space="preserve"> from </w:t>
      </w:r>
      <w:r>
        <w:t>Belgium</w:t>
      </w:r>
      <w:r>
        <w:t xml:space="preserve">, </w:t>
      </w:r>
      <w:r>
        <w:t>24.1%</w:t>
      </w:r>
      <w:r>
        <w:t xml:space="preserve"> from the </w:t>
      </w:r>
      <w:r>
        <w:t>Netherlands</w:t>
      </w:r>
      <w:r>
        <w:t xml:space="preserve"> and </w:t>
      </w:r>
      <w:r>
        <w:t>19.3%</w:t>
      </w:r>
      <w:r>
        <w:t xml:space="preserve"> from the </w:t>
      </w:r>
      <w:r>
        <w:t>United States</w:t>
      </w:r>
      <w:r>
        <w:t>.</w:t>
      </w:r>
      <w:r>
        <w:rPr>
          <w:color w:val="4B5563"/>
          <w:vertAlign w:val="superscript"/>
        </w:rPr>
        <w:t>1,5</w:t>
      </w:r>
    </w:p>
    <w:p>
      <w:pPr>
        <w:pStyle w:val="Heading1"/>
      </w:pPr>
      <w:r>
        <w:t>2. Economic opportunities and why</w:t>
      </w:r>
    </w:p>
    <w:p>
      <w:r>
        <w:t>23</w:t>
      </w:r>
      <w:r>
        <w:t xml:space="preserve"> of its placed sectors sit in the two high-opportunity corners. Its highest Economic Opportunity percentiles are in </w:t>
      </w:r>
      <w:r>
        <w:t>downstream green hydrogen</w:t>
      </w:r>
      <w:r>
        <w:t xml:space="preserve">, </w:t>
      </w:r>
      <w:r>
        <w:t>midstream gas</w:t>
      </w:r>
      <w:r>
        <w:t xml:space="preserve"> and </w:t>
      </w:r>
      <w:r>
        <w:t>midstream nuclear</w:t>
      </w:r>
      <w:r>
        <w:t xml:space="preserve">: it scores higher than </w:t>
      </w:r>
      <w:r>
        <w:t>99%</w:t>
      </w:r>
      <w:r>
        <w:t xml:space="preserve">, </w:t>
      </w:r>
      <w:r>
        <w:t>98%</w:t>
      </w:r>
      <w:r>
        <w:t xml:space="preserve"> and </w:t>
      </w:r>
      <w:r>
        <w:t>98%</w:t>
      </w:r>
      <w:r>
        <w:t xml:space="preserve"> of the other </w:t>
      </w:r>
      <w:r>
        <w:t>157</w:t>
      </w:r>
      <w:r>
        <w:t xml:space="preserve">, </w:t>
      </w:r>
      <w:r>
        <w:t>155</w:t>
      </w:r>
      <w:r>
        <w:t xml:space="preserve"> and </w:t>
      </w:r>
      <w:r>
        <w:t>153</w:t>
      </w:r>
      <w:r>
        <w:t xml:space="preserve"> economies scored.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downstream green hydrogen</w:t>
      </w:r>
      <w:r>
        <w:t xml:space="preserve">, </w:t>
      </w:r>
      <w:r>
        <w:t>consumption</w:t>
      </w:r>
      <w:r>
        <w:t xml:space="preserve"> and </w:t>
      </w:r>
      <w:r>
        <w:t>technology demand</w:t>
      </w:r>
      <w:r>
        <w:t xml:space="preserve"> push the score up. On its domestic demand measure, it scores higher than </w:t>
      </w:r>
      <w:r>
        <w:t>100%</w:t>
      </w:r>
      <w:r>
        <w:t xml:space="preserve"> of the other economies; part of the wider demand category is filled in with the world average.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midstream gas</w:t>
      </w:r>
      <w:r>
        <w:t xml:space="preserve">, </w:t>
      </w:r>
      <w:r>
        <w:t>trade</w:t>
      </w:r>
      <w:r>
        <w:t xml:space="preserve"> and </w:t>
      </w:r>
      <w:r>
        <w:t>cost competitiveness</w:t>
      </w:r>
      <w:r>
        <w:t xml:space="preserve"> push the score up. It exported </w:t>
      </w:r>
      <w:r>
        <w:t>USD 11.5 bn</w:t>
      </w:r>
      <w:r>
        <w:t xml:space="preserve"> of these goods in </w:t>
      </w:r>
      <w:r>
        <w:t>2024</w:t>
      </w:r>
      <w:r>
        <w:t xml:space="preserve"> and held </w:t>
      </w:r>
      <w:r>
        <w:t>7.7%</w:t>
      </w:r>
      <w:r>
        <w:t xml:space="preserve"> of world exports in </w:t>
      </w:r>
      <w:r>
        <w:t>2023</w:t>
      </w:r>
      <w:r>
        <w:t xml:space="preserve">. For context, its largest markets in </w:t>
      </w:r>
      <w:r>
        <w:t>2024</w:t>
      </w:r>
      <w:r>
        <w:t xml:space="preserve"> were the </w:t>
      </w:r>
      <w:r>
        <w:t>United States</w:t>
      </w:r>
      <w:r>
        <w:t xml:space="preserve"> (</w:t>
      </w:r>
      <w:r>
        <w:t>10.8%</w:t>
      </w:r>
      <w:r>
        <w:t xml:space="preserve">) and </w:t>
      </w:r>
      <w:r>
        <w:t>Italy</w:t>
      </w:r>
      <w:r>
        <w:t xml:space="preserve"> (</w:t>
      </w:r>
      <w:r>
        <w:t>7.4%</w:t>
      </w:r>
      <w:r>
        <w:t>).</w:t>
      </w:r>
      <w:r>
        <w:rPr>
          <w:color w:val="4B5563"/>
          <w:vertAlign w:val="superscript"/>
        </w:rPr>
        <w:t>5,6,7</w:t>
      </w:r>
    </w:p>
    <w:p>
      <w:r>
        <w:t xml:space="preserve">In </w:t>
      </w:r>
      <w:r>
        <w:t>midstream nuclear</w:t>
      </w:r>
      <w:r>
        <w:t xml:space="preserve">, the same categories push the score up: it held </w:t>
      </w:r>
      <w:r>
        <w:t>10.9%</w:t>
      </w:r>
      <w:r>
        <w:t xml:space="preserve"> of world exports in </w:t>
      </w:r>
      <w:r>
        <w:t>2023</w:t>
      </w:r>
      <w:r>
        <w:t xml:space="preserve">, and its revealed comparative advantage was </w:t>
      </w:r>
      <w:r>
        <w:t>1.82</w:t>
      </w:r>
      <w:r>
        <w:t xml:space="preserve"> in </w:t>
      </w:r>
      <w:r>
        <w:t>2024</w:t>
      </w:r>
      <w:r>
        <w:t xml:space="preserve">. For context, the </w:t>
      </w:r>
      <w:r>
        <w:t>United States</w:t>
      </w:r>
      <w:r>
        <w:t xml:space="preserve"> took </w:t>
      </w:r>
      <w:r>
        <w:t>29.7%</w:t>
      </w:r>
      <w:r>
        <w:t xml:space="preserve"> of these exports in </w:t>
      </w:r>
      <w:r>
        <w:t>2024</w:t>
      </w:r>
      <w:r>
        <w:t xml:space="preserve">. In </w:t>
      </w:r>
      <w:r>
        <w:t>downstream solar</w:t>
      </w:r>
      <w:r>
        <w:t xml:space="preserve">, it scores higher than </w:t>
      </w:r>
      <w:r>
        <w:t>98%</w:t>
      </w:r>
      <w:r>
        <w:t xml:space="preserve"> of the other </w:t>
      </w:r>
      <w:r>
        <w:t>147</w:t>
      </w:r>
      <w:r>
        <w:t xml:space="preserve"> economies, lifted by </w:t>
      </w:r>
      <w:r>
        <w:t>investment</w:t>
      </w:r>
      <w:r>
        <w:t xml:space="preserve"> and </w:t>
      </w:r>
      <w:r>
        <w:t>production</w:t>
      </w:r>
      <w:r>
        <w:t xml:space="preserve">; it produced </w:t>
      </w:r>
      <w:r>
        <w:t>91.6 TWh</w:t>
      </w:r>
      <w:r>
        <w:t xml:space="preserve"> in </w:t>
      </w:r>
      <w:r>
        <w:t>2025</w:t>
      </w:r>
      <w:r>
        <w:t>.</w:t>
      </w:r>
      <w:r>
        <w:rPr>
          <w:color w:val="4B5563"/>
          <w:vertAlign w:val="superscript"/>
        </w:rPr>
        <w:t>1,3,5,6,7</w:t>
      </w:r>
    </w:p>
    <w:p>
      <w:pPr>
        <w:pStyle w:val="Heading1"/>
      </w:pPr>
      <w:r>
        <w:t>3. Sectoral priorities and the existing policy posture</w:t>
      </w:r>
    </w:p>
    <w:p>
      <w:r>
        <w:t xml:space="preserve">On the paper's weighting, the Strategic Index ranks </w:t>
      </w:r>
      <w:r>
        <w:t>downstream solar</w:t>
      </w:r>
      <w:r>
        <w:t xml:space="preserve"> </w:t>
      </w:r>
      <w:r>
        <w:t>1st</w:t>
      </w:r>
      <w:r>
        <w:t xml:space="preserve">, </w:t>
      </w:r>
      <w:r>
        <w:t>midstream green hydrogen</w:t>
      </w:r>
      <w:r>
        <w:t xml:space="preserve"> </w:t>
      </w:r>
      <w:r>
        <w:t>2nd</w:t>
      </w:r>
      <w:r>
        <w:t xml:space="preserve">, </w:t>
      </w:r>
      <w:r>
        <w:t>upstream green hydrogen</w:t>
      </w:r>
      <w:r>
        <w:t xml:space="preserve"> </w:t>
      </w:r>
      <w:r>
        <w:t>3rd</w:t>
      </w:r>
      <w:r>
        <w:t xml:space="preserve">, </w:t>
      </w:r>
      <w:r>
        <w:t>upstream solar</w:t>
      </w:r>
      <w:r>
        <w:t xml:space="preserve"> </w:t>
      </w:r>
      <w:r>
        <w:t>4th</w:t>
      </w:r>
      <w:r>
        <w:t xml:space="preserve"> and </w:t>
      </w:r>
      <w:r>
        <w:t>upstream wind</w:t>
      </w:r>
      <w:r>
        <w:t xml:space="preserve"> </w:t>
      </w:r>
      <w:r>
        <w:t>5th</w:t>
      </w:r>
      <w:r>
        <w:t xml:space="preserve"> among the sectors of Germany. These are almost tied: neighbours are </w:t>
      </w:r>
      <w:r>
        <w:t>0.002</w:t>
      </w:r>
      <w:r>
        <w:t xml:space="preserve">, </w:t>
      </w:r>
      <w:r>
        <w:t>0.007</w:t>
      </w:r>
      <w:r>
        <w:t xml:space="preserve">, </w:t>
      </w:r>
      <w:r>
        <w:t>0.005</w:t>
      </w:r>
      <w:r>
        <w:t xml:space="preserve"> and </w:t>
      </w:r>
      <w:r>
        <w:t>0.006</w:t>
      </w:r>
      <w:r>
        <w:t xml:space="preserve"> apart. On policy activity, </w:t>
      </w:r>
      <w:r>
        <w:t>downstream solar</w:t>
      </w:r>
      <w:r>
        <w:t xml:space="preserve"> ranks </w:t>
      </w:r>
      <w:r>
        <w:t>1st</w:t>
      </w:r>
      <w:r>
        <w:t xml:space="preserve">, but on data-based priority (the Strategic Index without its policy term) only </w:t>
      </w:r>
      <w:r>
        <w:t>15th</w:t>
      </w:r>
      <w:r>
        <w:t xml:space="preserve">, so its lead rests on policy. The paper's rule takes the Upgrade corner, which the framework associates with leapfrogging (building domestic capability), as high-priority. For Germany that is </w:t>
      </w:r>
      <w:r>
        <w:t>upstream gas</w:t>
      </w:r>
      <w:r>
        <w:t xml:space="preserve">, ranked </w:t>
      </w:r>
      <w:r>
        <w:t>19th</w:t>
      </w:r>
      <w:r>
        <w:t xml:space="preserve"> on the Strategic Index.</w:t>
      </w:r>
      <w:r>
        <w:rPr>
          <w:color w:val="4B5563"/>
          <w:vertAlign w:val="superscript"/>
        </w:rPr>
        <w:t>1,2</w:t>
      </w:r>
    </w:p>
    <w:p>
      <w:r>
        <w:t xml:space="preserve">Its allied pick in the network design is </w:t>
      </w:r>
      <w:r>
        <w:t>midstream batteries</w:t>
      </w:r>
      <w:r>
        <w:t xml:space="preserve">, almost tied with the runner-up, </w:t>
      </w:r>
      <w:r>
        <w:t>upstream nuclear</w:t>
      </w:r>
      <w:r>
        <w:t xml:space="preserve"> (</w:t>
      </w:r>
      <w:r>
        <w:t>0.007</w:t>
      </w:r>
      <w:r>
        <w:t xml:space="preserve"> apart). The pick skips upstream sectors without a resource base, which on the data include </w:t>
      </w:r>
      <w:r>
        <w:t>upstream green hydrogen</w:t>
      </w:r>
      <w:r>
        <w:t xml:space="preserve">, </w:t>
      </w:r>
      <w:r>
        <w:t>upstream solar</w:t>
      </w:r>
      <w:r>
        <w:t xml:space="preserve"> and </w:t>
      </w:r>
      <w:r>
        <w:t>upstream wind</w:t>
      </w:r>
      <w:r>
        <w:t>.</w:t>
      </w:r>
      <w:r>
        <w:rPr>
          <w:color w:val="4B5563"/>
          <w:vertAlign w:val="superscript"/>
        </w:rPr>
        <w:t>8</w:t>
      </w:r>
    </w:p>
    <w:p>
      <w:r>
        <w:t xml:space="preserve">The Climate Action Tracker rates Germany </w:t>
      </w:r>
      <w:r>
        <w:t>Insufficient</w:t>
      </w:r>
      <w:r>
        <w:t xml:space="preserve"> (</w:t>
      </w:r>
      <w:r>
        <w:t>August 2024</w:t>
      </w:r>
      <w:r>
        <w:t xml:space="preserve">), and the International Energy Agency's Policies and Measures database holds </w:t>
      </w:r>
      <w:r>
        <w:t>448</w:t>
      </w:r>
      <w:r>
        <w:t xml:space="preserve"> records for it, </w:t>
      </w:r>
      <w:r>
        <w:t>267</w:t>
      </w:r>
      <w:r>
        <w:t xml:space="preserve"> naming a technology. Ranked within Germany, policy activity places </w:t>
      </w:r>
      <w:r>
        <w:t>upstream green hydrogen</w:t>
      </w:r>
      <w:r>
        <w:t xml:space="preserve">, </w:t>
      </w:r>
      <w:r>
        <w:t>upstream solar</w:t>
      </w:r>
      <w:r>
        <w:t xml:space="preserve"> and </w:t>
      </w:r>
      <w:r>
        <w:t>upstream wind</w:t>
      </w:r>
      <w:r>
        <w:t xml:space="preserve"> in the </w:t>
      </w:r>
      <w:r>
        <w:t>middle</w:t>
      </w:r>
      <w:r>
        <w:t xml:space="preserve"> group. Splitting data-based priority and policy activity into thirds, no sector combines top priority with the least policy. Top priority and the most policy coincide in </w:t>
      </w:r>
      <w:r>
        <w:t>midstream green hydrogen, midstream batteries and midstream solar</w:t>
      </w:r>
      <w:r>
        <w:t xml:space="preserve">, while </w:t>
      </w:r>
      <w:r>
        <w:t>downstream green hydrogen</w:t>
      </w:r>
      <w:r>
        <w:t xml:space="preserve"> combines bottom priority with the most policy. The high-priority </w:t>
      </w:r>
      <w:r>
        <w:t>upstream gas</w:t>
      </w:r>
      <w:r>
        <w:t xml:space="preserve"> sits in the </w:t>
      </w:r>
      <w:r>
        <w:t>middle third</w:t>
      </w:r>
      <w:r>
        <w:t xml:space="preserve"> on data-based priority and among the sectors with the </w:t>
      </w:r>
      <w:r>
        <w:t>least policy</w:t>
      </w:r>
      <w:r>
        <w:t xml:space="preserve">. The </w:t>
      </w:r>
      <w:r>
        <w:t>7</w:t>
      </w:r>
      <w:r>
        <w:t xml:space="preserve"> sectors with bottom priority and the least policy are all in coal, oil or gas.</w:t>
      </w:r>
      <w:r>
        <w:rPr>
          <w:color w:val="4B5563"/>
          <w:vertAlign w:val="superscript"/>
        </w:rPr>
        <w:t>1,2,9</w:t>
      </w:r>
    </w:p>
    <w:p>
      <w:r>
        <w:t>Country Insights also lists, as context, Global Trade Alert's industrial-policy measures for Germany, EU-wide ones included.</w:t>
      </w:r>
    </w:p>
    <w:p>
      <w:pPr>
        <w:pStyle w:val="Heading1"/>
      </w:pPr>
      <w:r>
        <w:t>4. Partnership priorities and why</w:t>
      </w:r>
    </w:p>
    <w:p>
      <w:r>
        <w:t xml:space="preserve">The Partnership Strength Index scores how much a partner offers as a reliable supplier, an export market and a place to build supply chains together. From the viewpoint of Germany, it rates the </w:t>
      </w:r>
      <w:r>
        <w:t>United States</w:t>
      </w:r>
      <w:r>
        <w:t xml:space="preserve"> highest, as a </w:t>
      </w:r>
      <w:r>
        <w:t>reliable supplier</w:t>
      </w:r>
      <w:r>
        <w:t xml:space="preserve">. Its best supplier scores are in </w:t>
      </w:r>
      <w:r>
        <w:t>downstream nuclear, midstream batteries, upstream gas, midstream wind and upstream oil</w:t>
      </w:r>
      <w:r>
        <w:t xml:space="preserve">. </w:t>
      </w:r>
      <w:r>
        <w:t>Austria</w:t>
      </w:r>
      <w:r>
        <w:t xml:space="preserve">, </w:t>
      </w:r>
      <w:r>
        <w:t>Italy</w:t>
      </w:r>
      <w:r>
        <w:t xml:space="preserve">, the </w:t>
      </w:r>
      <w:r>
        <w:t>Czech Republic</w:t>
      </w:r>
      <w:r>
        <w:t xml:space="preserve"> and </w:t>
      </w:r>
      <w:r>
        <w:t>France</w:t>
      </w:r>
      <w:r>
        <w:t xml:space="preserve"> follow, ranked </w:t>
      </w:r>
      <w:r>
        <w:t>2nd</w:t>
      </w:r>
      <w:r>
        <w:t xml:space="preserve">, </w:t>
      </w:r>
      <w:r>
        <w:t>3rd</w:t>
      </w:r>
      <w:r>
        <w:t xml:space="preserve">, </w:t>
      </w:r>
      <w:r>
        <w:t>4th</w:t>
      </w:r>
      <w:r>
        <w:t xml:space="preserve"> and </w:t>
      </w:r>
      <w:r>
        <w:t>5th</w:t>
      </w:r>
      <w:r>
        <w:t xml:space="preserve">: </w:t>
      </w:r>
      <w:r>
        <w:t>Austria</w:t>
      </w:r>
      <w:r>
        <w:t xml:space="preserve"> and the </w:t>
      </w:r>
      <w:r>
        <w:t>Czech Republic</w:t>
      </w:r>
      <w:r>
        <w:t xml:space="preserve"> each as a </w:t>
      </w:r>
      <w:r>
        <w:t>reliable supplier</w:t>
      </w:r>
      <w:r>
        <w:t xml:space="preserve">, </w:t>
      </w:r>
      <w:r>
        <w:t>Italy</w:t>
      </w:r>
      <w:r>
        <w:t xml:space="preserve"> and </w:t>
      </w:r>
      <w:r>
        <w:t>France</w:t>
      </w:r>
      <w:r>
        <w:t xml:space="preserve"> each as an </w:t>
      </w:r>
      <w:r>
        <w:t>export market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The </w:t>
      </w:r>
      <w:r>
        <w:t>United States</w:t>
      </w:r>
      <w:r>
        <w:t xml:space="preserve"> is also its </w:t>
      </w:r>
      <w:r>
        <w:t>1st</w:t>
      </w:r>
      <w:r>
        <w:t xml:space="preserve"> trade partner on average across its energy-goods baskets, </w:t>
      </w:r>
      <w:r>
        <w:t>France</w:t>
      </w:r>
      <w:r>
        <w:t xml:space="preserve"> its </w:t>
      </w:r>
      <w:r>
        <w:t>3rd</w:t>
      </w:r>
      <w:r>
        <w:t xml:space="preserve"> and </w:t>
      </w:r>
      <w:r>
        <w:t>Italy</w:t>
      </w:r>
      <w:r>
        <w:t xml:space="preserve"> its </w:t>
      </w:r>
      <w:r>
        <w:t>4th</w:t>
      </w:r>
      <w:r>
        <w:t xml:space="preserve">; each is </w:t>
      </w:r>
      <w:r>
        <w:t>a priority partner with strong ties today</w:t>
      </w:r>
      <w:r>
        <w:t xml:space="preserve">. Germany and the </w:t>
      </w:r>
      <w:r>
        <w:t>United States</w:t>
      </w:r>
      <w:r>
        <w:t xml:space="preserve"> both belong to </w:t>
      </w:r>
      <w:r>
        <w:t>the G7, NATO and the Minerals Security Partnership</w:t>
      </w:r>
      <w:r>
        <w:t xml:space="preserve">. </w:t>
      </w:r>
      <w:r>
        <w:t>Austria</w:t>
      </w:r>
      <w:r>
        <w:t xml:space="preserve"> and the </w:t>
      </w:r>
      <w:r>
        <w:t>Czech Republic</w:t>
      </w:r>
      <w:r>
        <w:t xml:space="preserve"> rank lower as trade partners, at </w:t>
      </w:r>
      <w:r>
        <w:t>9th</w:t>
      </w:r>
      <w:r>
        <w:t xml:space="preserve"> and </w:t>
      </w:r>
      <w:r>
        <w:t>11th</w:t>
      </w:r>
      <w:r>
        <w:t>.</w:t>
      </w:r>
      <w:r>
        <w:rPr>
          <w:color w:val="4B5563"/>
          <w:vertAlign w:val="superscript"/>
        </w:rPr>
        <w:t>1,5,10</w:t>
      </w:r>
    </w:p>
    <w:p>
      <w:r>
        <w:t>China</w:t>
      </w:r>
      <w:r>
        <w:t xml:space="preserve"> is its </w:t>
      </w:r>
      <w:r>
        <w:t>2nd</w:t>
      </w:r>
      <w:r>
        <w:t xml:space="preserve"> trade partner, but the index ranks it </w:t>
      </w:r>
      <w:r>
        <w:t>51st</w:t>
      </w:r>
      <w:r>
        <w:t xml:space="preserve">: it is </w:t>
      </w:r>
      <w:r>
        <w:t>a strong tie today that the index ranks lower</w:t>
      </w:r>
      <w:r>
        <w:t xml:space="preserve">. On the index it counts as a </w:t>
      </w:r>
      <w:r>
        <w:t>development partner</w:t>
      </w:r>
      <w:r>
        <w:t xml:space="preserve">, and in votes at the United Nations, Germany and </w:t>
      </w:r>
      <w:r>
        <w:t>China</w:t>
      </w:r>
      <w:r>
        <w:t xml:space="preserve"> sit in </w:t>
      </w:r>
      <w:r>
        <w:t>opposite blocs</w:t>
      </w:r>
      <w:r>
        <w:t>.</w:t>
      </w:r>
      <w:r>
        <w:rPr>
          <w:color w:val="4B5563"/>
          <w:vertAlign w:val="superscript"/>
        </w:rPr>
        <w:t>1,5,11</w:t>
      </w:r>
    </w:p>
    <w:p>
      <w:r>
        <w:t xml:space="preserve">As a partner to the coalition, Germany ranks </w:t>
      </w:r>
      <w:r>
        <w:t>2nd</w:t>
      </w:r>
      <w:r>
        <w:t xml:space="preserve"> of </w:t>
      </w:r>
      <w:r>
        <w:t>192</w:t>
      </w:r>
      <w:r>
        <w:t xml:space="preserve"> economies. In the allied network design, its derived shares of coalition production are largest in </w:t>
      </w:r>
      <w:r>
        <w:t>midstream nuclear</w:t>
      </w:r>
      <w:r>
        <w:t xml:space="preserve"> (</w:t>
      </w:r>
      <w:r>
        <w:t>5.4%</w:t>
      </w:r>
      <w:r>
        <w:t xml:space="preserve">) and </w:t>
      </w:r>
      <w:r>
        <w:t>midstream green hydrogen</w:t>
      </w:r>
      <w:r>
        <w:t xml:space="preserve"> (</w:t>
      </w:r>
      <w:r>
        <w:t>5.1%</w:t>
      </w:r>
      <w:r>
        <w:t>).</w:t>
      </w:r>
      <w:r>
        <w:rPr>
          <w:color w:val="4B5563"/>
          <w:vertAlign w:val="superscript"/>
        </w:rPr>
        <w:t>1,8</w:t>
      </w:r>
    </w:p>
    <w:p>
      <w:pPr>
        <w:pStyle w:val="Heading1"/>
      </w:pPr>
      <w:r>
        <w:t>5. Data notes and caveats</w:t>
      </w:r>
    </w:p>
    <w:p>
      <w:r>
        <w:t>See the Country Insights page (</w:t>
      </w:r>
      <w:r>
        <w:t>12 October 2026</w:t>
      </w:r>
      <w:r>
        <w:t xml:space="preserve"> baseline) for each source.</w:t>
      </w:r>
    </w:p>
    <w:p>
      <w:pPr>
        <w:pStyle w:val="ListBullet"/>
      </w:pPr>
      <w:r>
        <w:t>Scores compare Germany with other economies in the same sector; they are not measures of risk or profit in absolute terms.</w:t>
      </w:r>
    </w:p>
    <w:p>
      <w:pPr>
        <w:pStyle w:val="ListBullet"/>
      </w:pPr>
      <w:r>
        <w:t>All index values are the paper's baseline as of 12 October 2026; Strategic Insights recomputes them under other weightings.</w:t>
      </w:r>
    </w:p>
    <w:p>
      <w:pPr>
        <w:pStyle w:val="ListBullet"/>
      </w:pPr>
      <w:r>
        <w:t>Some figures behind these scores are filled in where the source has no value: with zero where a source lists every holder, otherwise with the world average.</w:t>
      </w:r>
    </w:p>
    <w:p>
      <w:pPr>
        <w:pStyle w:val="ListBullet"/>
      </w:pPr>
      <w:r>
        <w:t>Strategic Index scores within 0.01 of each other are almost tied: small changes in the data or the weights can swap their order.</w:t>
      </w:r>
    </w:p>
    <w:p>
      <w:pPr>
        <w:pStyle w:val="ListBullet"/>
      </w:pPr>
      <w:r>
        <w:t>Many allied picks are close calls: in the paper, 37% of them are within 0.01 of the runner-up.</w:t>
      </w:r>
    </w:p>
    <w:p>
      <w:pPr>
        <w:pStyle w:val="ListBullet"/>
      </w:pPr>
      <w:r>
        <w:t>In the allied network design the European Union is one producer; Germany's shares are derived from its weight within the EU.</w:t>
      </w:r>
    </w:p>
    <w:p>
      <w:pPr>
        <w:pStyle w:val="ListBullet"/>
      </w:pPr>
      <w:r>
        <w:t>Trade figures count trade with other EU members.</w:t>
      </w:r>
    </w:p>
    <w:p>
      <w:pPr>
        <w:pStyle w:val="ListBullet"/>
      </w:pPr>
      <w:r>
        <w:t>Germany's counts leave out the EU's own 438 International Energy Agency policy records.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paper baseline (Opportunity Security Indices pipeline); CC BY 4.0 (the paper's indices).</w:t>
      </w:r>
    </w:p>
    <w:p>
      <w:pPr>
        <w:pStyle w:val="ListNumber"/>
      </w:pPr>
      <w:r>
        <w:rPr>
          <w:sz w:val="17"/>
        </w:rPr>
        <w:t>International Energy Agency, Policies and Measures Database (export of 2026-09-30); attribution; https://www.iea.org/policies.</w:t>
      </w:r>
    </w:p>
    <w:p>
      <w:pPr>
        <w:pStyle w:val="ListNumber"/>
      </w:pPr>
      <w:r>
        <w:rPr>
          <w:sz w:val="17"/>
        </w:rPr>
        <w:t>Energy Institute, Statistical Review of World Energy 2026 (data to 2025); attribution; https://www.energyinst.org/statistical-review.</w:t>
      </w:r>
    </w:p>
    <w:p>
      <w:pPr>
        <w:pStyle w:val="ListNumber"/>
      </w:pPr>
      <w:r>
        <w:rPr>
          <w:sz w:val="17"/>
        </w:rPr>
        <w:t>U.S. Energy Information Administration, International Energy Statistics, bulk file INTL.zip: crude oil incl. lease condensate, NGPL, dry natural gas and coal production; petroleum and other liquids, dry natural gas and coal consumption, bulk file dated 2026-10-03 (oil production to 2025; gas and coal to 2024); open; https://www.eia.gov/international/data/world.</w:t>
      </w:r>
    </w:p>
    <w:p>
      <w:pPr>
        <w:pStyle w:val="ListNumber"/>
      </w:pPr>
      <w:r>
        <w:rPr>
          <w:sz w:val="17"/>
        </w:rPr>
        <w:t>United Nations, UN Comtrade Database, HS6 bilateral trade (all reporters), 2020 and 2024; reconciled by the authors (pulled 2026-10-07 to 2026-10-09); attribution; https://comtradeplus.un.org/.</w:t>
      </w:r>
    </w:p>
    <w:p>
      <w:pPr>
        <w:pStyle w:val="ListNumber"/>
      </w:pPr>
      <w:r>
        <w:rPr>
          <w:sz w:val="17"/>
        </w:rPr>
        <w:t>United Nations, UN Comtrade Database, exports to World by reporter, 2024 (2024 data); attribution; https://comtradeplus.un.org/.</w:t>
      </w:r>
    </w:p>
    <w:p>
      <w:pPr>
        <w:pStyle w:val="ListNumber"/>
      </w:pPr>
      <w:r>
        <w:rPr>
          <w:sz w:val="17"/>
        </w:rPr>
        <w:t>Growth Lab at Harvard University, The Atlas of Economic Complexity, HS92 6-digit country-product-year data (data to 2023); attribution; https://atlas.hks.harvard.edu/.</w:t>
      </w:r>
    </w:p>
    <w:p>
      <w:pPr>
        <w:pStyle w:val="ListNumber"/>
      </w:pPr>
      <w:r>
        <w:rPr>
          <w:sz w:val="17"/>
        </w:rPr>
        <w:t>Allied network design (the paper's model design of coalition production shares).</w:t>
      </w:r>
    </w:p>
    <w:p>
      <w:pPr>
        <w:pStyle w:val="ListNumber"/>
      </w:pPr>
      <w:r>
        <w:rPr>
          <w:sz w:val="17"/>
        </w:rPr>
        <w:t>Climate Action Tracker, country ratings (ratings updated 2022-2025); attribution; https://climateactiontracker.org/.</w:t>
      </w:r>
    </w:p>
    <w:p>
      <w:pPr>
        <w:pStyle w:val="ListNumber"/>
      </w:pPr>
      <w:r>
        <w:rPr>
          <w:sz w:val="17"/>
        </w:rPr>
        <w:t>Economic-security agreements: G7, NATO, Indo-Pacific Economic Framework, Minerals Security Partnership (and Forum), U.S. free-trade agreements (compiled by the authors from official membership lists).</w:t>
      </w:r>
    </w:p>
    <w:p>
      <w:pPr>
        <w:pStyle w:val="ListNumber"/>
      </w:pPr>
      <w:r>
        <w:rPr>
          <w:sz w:val="17"/>
        </w:rPr>
        <w:t>Bailey, M., Strezhnev, A. and Voeten, E., United Nations General Assembly Voting Data, ideal points (Harvard Dataverse V39.0) (sessions to 2023); attribution; https://dataverse.harvard.edu/dataset.xhtml?persistentId=hdl:1902.1/12379.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paper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paper baseline as of 12 October 2026.  Allied Industrial Base Explorer, Country Insights: Germany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Germany: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DEU</cp:keywords>
  <dc:description>paper baseline as of 12 October 2026; fact sheet sha256 056085d9561a61e538ae2002823cc9253f39e566b9f7d023d1ff42f652e529cf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