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Denmark: energy security, economic opportunity and partnership priorities</w:t>
      </w:r>
    </w:p>
    <w:p>
      <w:r>
        <w:rPr>
          <w:color w:val="4B5563"/>
          <w:sz w:val="18"/>
        </w:rPr>
        <w:t>Policy memo · Country Insights · Allied Industrial Base Explorer · NEIS Center</w:t>
      </w:r>
    </w:p>
    <w:p>
      <w:pPr>
        <w:pBdr>
          <w:top w:val="single" w:sz="4" w:space="4" w:color="D1D5DB"/>
        </w:pBdr>
      </w:pPr>
      <w:r>
        <w:rPr>
          <w:i/>
          <w:color w:val="4B5563"/>
          <w:sz w:val="19"/>
        </w:rPr>
        <w:t>AI-generated from the data and checked against it; paper baseline as of 12 October 2026.</w:t>
      </w:r>
    </w:p>
    <w:tbl>
      <w:tblPr>
        <w:tblW w:type="auto" w:w="0"/>
        <w:tblLook w:firstColumn="1" w:firstRow="1" w:lastColumn="0" w:lastRow="0" w:noHBand="0" w:noVBand="1" w:val="04A0"/>
      </w:tblPr>
      <w:tblGrid>
        <w:gridCol w:w="10080"/>
      </w:tblGrid>
      <w:tr>
        <w:tc>
          <w:tcPr>
            <w:tcW w:type="dxa" w:w="10080"/>
            <w:shd w:val="clear" w:color="auto" w:fill="F3F4F6"/>
            <w:tcBorders>
              <w:top w:val="nil"/>
              <w:left w:val="single" w:sz="24" w:space="0" w:color="F58229"/>
              <w:bottom w:val="nil"/>
              <w:right w:val="nil"/>
            </w:tcBorders>
            <w:tcMar>
              <w:top w:w="120" w:type="dxa"/>
              <w:left w:w="200" w:type="dxa"/>
              <w:bottom w:w="80" w:type="dxa"/>
              <w:right w:w="160" w:type="dxa"/>
            </w:tcMar>
          </w:tcPr>
          <w:p>
            <w:r>
              <w:rPr>
                <w:b/>
                <w:sz w:val="24"/>
              </w:rPr>
              <w:t>Summary</w:t>
            </w:r>
          </w:p>
          <w:p>
            <w:pPr>
              <w:pStyle w:val="ListBullet"/>
            </w:pPr>
            <w:r>
              <w:t>Denmark</w:t>
            </w:r>
            <w:r>
              <w:t xml:space="preserve"> is most exposed in </w:t>
            </w:r>
            <w:r>
              <w:t>downstream gas</w:t>
            </w:r>
            <w:r>
              <w:t xml:space="preserve">, </w:t>
            </w:r>
            <w:r>
              <w:t>upstream nuclear</w:t>
            </w:r>
            <w:r>
              <w:t xml:space="preserve"> and </w:t>
            </w:r>
            <w:r>
              <w:t>downstream coal</w:t>
            </w:r>
            <w:r>
              <w:t xml:space="preserve">, where its Energy Security is higher than only </w:t>
            </w:r>
            <w:r>
              <w:t>2%</w:t>
            </w:r>
            <w:r>
              <w:t xml:space="preserve">, </w:t>
            </w:r>
            <w:r>
              <w:t>7%</w:t>
            </w:r>
            <w:r>
              <w:t xml:space="preserve"> and </w:t>
            </w:r>
            <w:r>
              <w:t>8%</w:t>
            </w:r>
            <w:r>
              <w:t xml:space="preserve"> of the other economies scored. In both downstream sectors, low and falling consumption per person pulls the score down.</w:t>
            </w:r>
            <w:r>
              <w:rPr>
                <w:color w:val="4B5563"/>
                <w:vertAlign w:val="superscript"/>
              </w:rPr>
              <w:t>1</w:t>
            </w:r>
          </w:p>
          <w:p>
            <w:pPr>
              <w:pStyle w:val="ListBullet"/>
            </w:pPr>
            <w:r>
              <w:t xml:space="preserve">Its strongest openings are in </w:t>
            </w:r>
            <w:r>
              <w:t>midstream wind</w:t>
            </w:r>
            <w:r>
              <w:t xml:space="preserve">, </w:t>
            </w:r>
            <w:r>
              <w:t>midstream oil</w:t>
            </w:r>
            <w:r>
              <w:t xml:space="preserve"> and </w:t>
            </w:r>
            <w:r>
              <w:t>midstream nuclear</w:t>
            </w:r>
            <w:r>
              <w:t xml:space="preserve">, where its Economic Opportunity is higher than </w:t>
            </w:r>
            <w:r>
              <w:t>94%</w:t>
            </w:r>
            <w:r>
              <w:t xml:space="preserve">, </w:t>
            </w:r>
            <w:r>
              <w:t>92%</w:t>
            </w:r>
            <w:r>
              <w:t xml:space="preserve"> and </w:t>
            </w:r>
            <w:r>
              <w:t>91%</w:t>
            </w:r>
            <w:r>
              <w:t xml:space="preserve"> of the other economies scored.</w:t>
            </w:r>
            <w:r>
              <w:rPr>
                <w:color w:val="4B5563"/>
                <w:vertAlign w:val="superscript"/>
              </w:rPr>
              <w:t>1</w:t>
            </w:r>
          </w:p>
          <w:p>
            <w:pPr>
              <w:pStyle w:val="ListBullet"/>
            </w:pPr>
            <w:r>
              <w:t xml:space="preserve">On the paper's weighting, the Strategic Index ranks </w:t>
            </w:r>
            <w:r>
              <w:t>upstream nuclear</w:t>
            </w:r>
            <w:r>
              <w:t xml:space="preserve"> </w:t>
            </w:r>
            <w:r>
              <w:t>1st</w:t>
            </w:r>
            <w:r>
              <w:t xml:space="preserve"> among </w:t>
            </w:r>
            <w:r>
              <w:t>Denmark</w:t>
            </w:r>
            <w:r>
              <w:t xml:space="preserve">'s own sectors, with security need its largest part; policy activity there sits in the </w:t>
            </w:r>
            <w:r>
              <w:t>middle</w:t>
            </w:r>
            <w:r>
              <w:t xml:space="preserve"> group.</w:t>
            </w:r>
            <w:r>
              <w:rPr>
                <w:color w:val="4B5563"/>
                <w:vertAlign w:val="superscript"/>
              </w:rPr>
              <w:t>1</w:t>
            </w:r>
          </w:p>
          <w:p>
            <w:pPr>
              <w:pStyle w:val="ListBullet"/>
            </w:pPr>
            <w:r>
              <w:t xml:space="preserve">The Partnership Strength Index rates </w:t>
            </w:r>
            <w:r>
              <w:t>Sweden</w:t>
            </w:r>
            <w:r>
              <w:t xml:space="preserve"> highest for </w:t>
            </w:r>
            <w:r>
              <w:t>Denmark</w:t>
            </w:r>
            <w:r>
              <w:t xml:space="preserve">, above all as an </w:t>
            </w:r>
            <w:r>
              <w:t>export market</w:t>
            </w:r>
            <w:r>
              <w:t xml:space="preserve">, and it is also </w:t>
            </w:r>
            <w:r>
              <w:t>Denmark</w:t>
            </w:r>
            <w:r>
              <w:t xml:space="preserve">'s </w:t>
            </w:r>
            <w:r>
              <w:t>1st</w:t>
            </w:r>
            <w:r>
              <w:t xml:space="preserve"> trade partner. </w:t>
            </w:r>
            <w:r>
              <w:t>China</w:t>
            </w:r>
            <w:r>
              <w:t xml:space="preserve">, its </w:t>
            </w:r>
            <w:r>
              <w:t>7th</w:t>
            </w:r>
            <w:r>
              <w:t xml:space="preserve"> trade partner, ranks </w:t>
            </w:r>
            <w:r>
              <w:t>44th</w:t>
            </w:r>
            <w:r>
              <w:t xml:space="preserve"> on Partnership Strength.</w:t>
            </w:r>
            <w:r>
              <w:rPr>
                <w:color w:val="4B5563"/>
                <w:vertAlign w:val="superscript"/>
              </w:rPr>
              <w:t>1,2</w:t>
            </w:r>
          </w:p>
        </w:tc>
      </w:tr>
    </w:tbl>
    <w:p/>
    <w:p>
      <w:pPr>
        <w:pStyle w:val="Heading1"/>
      </w:pPr>
      <w:r>
        <w:t>1. Energy security risks and why</w:t>
      </w:r>
    </w:p>
    <w:p>
      <w:r>
        <w:t>12</w:t>
      </w:r>
      <w:r>
        <w:t xml:space="preserve"> of </w:t>
      </w:r>
      <w:r>
        <w:t>Denmark</w:t>
      </w:r>
      <w:r>
        <w:t xml:space="preserve">'s </w:t>
      </w:r>
      <w:r>
        <w:t>30</w:t>
      </w:r>
      <w:r>
        <w:t xml:space="preserve"> placed sectors, those where both scores can be compared with other economies, sit in the two low-energy-security corners. Energy Security measures how well a country can rely on what it needs. Compared with other economies, its Energy Security is lowest in </w:t>
      </w:r>
      <w:r>
        <w:t>downstream gas</w:t>
      </w:r>
      <w:r>
        <w:t xml:space="preserve"> (</w:t>
      </w:r>
      <w:r>
        <w:t>0.33</w:t>
      </w:r>
      <w:r>
        <w:t xml:space="preserve">), </w:t>
      </w:r>
      <w:r>
        <w:t>upstream nuclear</w:t>
      </w:r>
      <w:r>
        <w:t xml:space="preserve"> (</w:t>
      </w:r>
      <w:r>
        <w:t>0.16</w:t>
      </w:r>
      <w:r>
        <w:t xml:space="preserve">) and </w:t>
      </w:r>
      <w:r>
        <w:t>downstream coal</w:t>
      </w:r>
      <w:r>
        <w:t xml:space="preserve"> (</w:t>
      </w:r>
      <w:r>
        <w:t>0.37</w:t>
      </w:r>
      <w:r>
        <w:t xml:space="preserve">), all in the </w:t>
      </w:r>
      <w:r>
        <w:t>Secure</w:t>
      </w:r>
      <w:r>
        <w:t xml:space="preserve"> corner. These scores are higher than only </w:t>
      </w:r>
      <w:r>
        <w:t>2%</w:t>
      </w:r>
      <w:r>
        <w:t xml:space="preserve">, </w:t>
      </w:r>
      <w:r>
        <w:t>7%</w:t>
      </w:r>
      <w:r>
        <w:t xml:space="preserve"> and </w:t>
      </w:r>
      <w:r>
        <w:t>8%</w:t>
      </w:r>
      <w:r>
        <w:t xml:space="preserve"> of the other </w:t>
      </w:r>
      <w:r>
        <w:t>98</w:t>
      </w:r>
      <w:r>
        <w:t xml:space="preserve">, </w:t>
      </w:r>
      <w:r>
        <w:t>174</w:t>
      </w:r>
      <w:r>
        <w:t xml:space="preserve"> and </w:t>
      </w:r>
      <w:r>
        <w:t>98</w:t>
      </w:r>
      <w:r>
        <w:t xml:space="preserve"> economies scored in each sector.</w:t>
      </w:r>
      <w:r>
        <w:rPr>
          <w:color w:val="4B5563"/>
          <w:vertAlign w:val="superscript"/>
        </w:rPr>
        <w:t>1</w:t>
      </w:r>
    </w:p>
    <w:p>
      <w:r>
        <w:t xml:space="preserve">In </w:t>
      </w:r>
      <w:r>
        <w:t>downstream gas</w:t>
      </w:r>
      <w:r>
        <w:t xml:space="preserve"> and </w:t>
      </w:r>
      <w:r>
        <w:t>downstream coal</w:t>
      </w:r>
      <w:r>
        <w:t xml:space="preserve">, the score is low mainly because of energy access, which the index reads from consumption per person and its change. Gas consumption was </w:t>
      </w:r>
      <w:r>
        <w:t>9.54 GJ per person</w:t>
      </w:r>
      <w:r>
        <w:t xml:space="preserve"> in </w:t>
      </w:r>
      <w:r>
        <w:t>2025</w:t>
      </w:r>
      <w:r>
        <w:t xml:space="preserve">, after a change of </w:t>
      </w:r>
      <w:r>
        <w:t>-33.2%</w:t>
      </w:r>
      <w:r>
        <w:t xml:space="preserve">; for coal the figures were </w:t>
      </w:r>
      <w:r>
        <w:t>1.3 GJ per person</w:t>
      </w:r>
      <w:r>
        <w:t xml:space="preserve"> and </w:t>
      </w:r>
      <w:r>
        <w:t>-77.4%</w:t>
      </w:r>
      <w:r>
        <w:t xml:space="preserve">. In </w:t>
      </w:r>
      <w:r>
        <w:t>upstream nuclear</w:t>
      </w:r>
      <w:r>
        <w:t xml:space="preserve">, the trade category pulls the score down: </w:t>
      </w:r>
      <w:r>
        <w:t>Denmark</w:t>
      </w:r>
      <w:r>
        <w:t xml:space="preserve">'s share of world exports of these goods was </w:t>
      </w:r>
      <w:r>
        <w:t>0.0%</w:t>
      </w:r>
      <w:r>
        <w:t xml:space="preserve"> in </w:t>
      </w:r>
      <w:r>
        <w:t>2023</w:t>
      </w:r>
      <w:r>
        <w:t>.</w:t>
      </w:r>
      <w:r>
        <w:rPr>
          <w:color w:val="4B5563"/>
          <w:vertAlign w:val="superscript"/>
        </w:rPr>
        <w:t>3,4</w:t>
      </w:r>
    </w:p>
    <w:p>
      <w:r>
        <w:t xml:space="preserve">Country Insights takes its high-priority sectors from the </w:t>
      </w:r>
      <w:r>
        <w:t>Upgrade</w:t>
      </w:r>
      <w:r>
        <w:t xml:space="preserve"> corner, which pairs high opportunity with low energy security, in Strategic Index order: </w:t>
      </w:r>
      <w:r>
        <w:t>midstream solar, downstream solar and upstream coal</w:t>
      </w:r>
      <w:r>
        <w:t xml:space="preserve">. On Energy Security, </w:t>
      </w:r>
      <w:r>
        <w:t>midstream solar</w:t>
      </w:r>
      <w:r>
        <w:t xml:space="preserve"> scores </w:t>
      </w:r>
      <w:r>
        <w:t>0.34</w:t>
      </w:r>
      <w:r>
        <w:t xml:space="preserve"> and </w:t>
      </w:r>
      <w:r>
        <w:t>downstream solar</w:t>
      </w:r>
      <w:r>
        <w:t xml:space="preserve"> </w:t>
      </w:r>
      <w:r>
        <w:t>0.45</w:t>
      </w:r>
      <w:r>
        <w:t xml:space="preserve">. In </w:t>
      </w:r>
      <w:r>
        <w:t>midstream solar</w:t>
      </w:r>
      <w:r>
        <w:t xml:space="preserve">, foreign dependency pulls the score down: the announced share of world manufacturing capacity for </w:t>
      </w:r>
      <w:r>
        <w:t>2035</w:t>
      </w:r>
      <w:r>
        <w:t xml:space="preserve"> is </w:t>
      </w:r>
      <w:r>
        <w:t>0.0%</w:t>
      </w:r>
      <w:r>
        <w:t xml:space="preserve">, </w:t>
      </w:r>
      <w:r>
        <w:t>the EU's announced share, carried by each EU member</w:t>
      </w:r>
      <w:r>
        <w:t xml:space="preserve">. In </w:t>
      </w:r>
      <w:r>
        <w:t>downstream solar</w:t>
      </w:r>
      <w:r>
        <w:t xml:space="preserve">, the reserves category, which here measures solar resource potential, pulls it down: </w:t>
      </w:r>
      <w:r>
        <w:t>Denmark</w:t>
      </w:r>
      <w:r>
        <w:t xml:space="preserve"> scores higher than only </w:t>
      </w:r>
      <w:r>
        <w:t>3%</w:t>
      </w:r>
      <w:r>
        <w:t xml:space="preserve"> of the other economies on that measure. For context, its largest suppliers in </w:t>
      </w:r>
      <w:r>
        <w:t>midstream solar</w:t>
      </w:r>
      <w:r>
        <w:t xml:space="preserve"> in </w:t>
      </w:r>
      <w:r>
        <w:t>2024</w:t>
      </w:r>
      <w:r>
        <w:t xml:space="preserve"> were </w:t>
      </w:r>
      <w:r>
        <w:t>Germany</w:t>
      </w:r>
      <w:r>
        <w:t xml:space="preserve"> (</w:t>
      </w:r>
      <w:r>
        <w:t>17.6%</w:t>
      </w:r>
      <w:r>
        <w:t xml:space="preserve"> of imports worth </w:t>
      </w:r>
      <w:r>
        <w:t>USD 3.55 bn</w:t>
      </w:r>
      <w:r>
        <w:t xml:space="preserve">) and </w:t>
      </w:r>
      <w:r>
        <w:t>China</w:t>
      </w:r>
      <w:r>
        <w:t xml:space="preserve"> (</w:t>
      </w:r>
      <w:r>
        <w:t>16.3%</w:t>
      </w:r>
      <w:r>
        <w:t>).</w:t>
      </w:r>
      <w:r>
        <w:rPr>
          <w:color w:val="4B5563"/>
          <w:vertAlign w:val="superscript"/>
        </w:rPr>
        <w:t>1,2,5</w:t>
      </w:r>
    </w:p>
    <w:p>
      <w:pPr>
        <w:pStyle w:val="Heading1"/>
      </w:pPr>
      <w:r>
        <w:t>2. Economic opportunities and why</w:t>
      </w:r>
    </w:p>
    <w:p>
      <w:r>
        <w:t>20</w:t>
      </w:r>
      <w:r>
        <w:t xml:space="preserve"> of the </w:t>
      </w:r>
      <w:r>
        <w:t>30</w:t>
      </w:r>
      <w:r>
        <w:t xml:space="preserve"> placed sectors sit in the two high-opportunity corners, where Economic Opportunity, how well placed a country is to create value, is at or above the sector median. Compared with other economies, its Economic Opportunity is highest in </w:t>
      </w:r>
      <w:r>
        <w:t>midstream wind</w:t>
      </w:r>
      <w:r>
        <w:t xml:space="preserve">, </w:t>
      </w:r>
      <w:r>
        <w:t>midstream oil</w:t>
      </w:r>
      <w:r>
        <w:t xml:space="preserve"> and </w:t>
      </w:r>
      <w:r>
        <w:t>midstream nuclear</w:t>
      </w:r>
      <w:r>
        <w:t xml:space="preserve">, all in the </w:t>
      </w:r>
      <w:r>
        <w:t>Grow</w:t>
      </w:r>
      <w:r>
        <w:t xml:space="preserve"> corner. These scores are higher than </w:t>
      </w:r>
      <w:r>
        <w:t>94%</w:t>
      </w:r>
      <w:r>
        <w:t xml:space="preserve">, </w:t>
      </w:r>
      <w:r>
        <w:t>92%</w:t>
      </w:r>
      <w:r>
        <w:t xml:space="preserve"> and </w:t>
      </w:r>
      <w:r>
        <w:t>91%</w:t>
      </w:r>
      <w:r>
        <w:t xml:space="preserve"> of the other </w:t>
      </w:r>
      <w:r>
        <w:t>64</w:t>
      </w:r>
      <w:r>
        <w:t xml:space="preserve">, </w:t>
      </w:r>
      <w:r>
        <w:t>155</w:t>
      </w:r>
      <w:r>
        <w:t xml:space="preserve"> and </w:t>
      </w:r>
      <w:r>
        <w:t>153</w:t>
      </w:r>
      <w:r>
        <w:t xml:space="preserve"> economies scored.</w:t>
      </w:r>
      <w:r>
        <w:rPr>
          <w:color w:val="4B5563"/>
          <w:vertAlign w:val="superscript"/>
        </w:rPr>
        <w:t>1</w:t>
      </w:r>
    </w:p>
    <w:p>
      <w:r>
        <w:t xml:space="preserve">In </w:t>
      </w:r>
      <w:r>
        <w:t>midstream wind</w:t>
      </w:r>
      <w:r>
        <w:t xml:space="preserve">, the score rests mainly on foreign dependency and investment. Here, foreign dependency reads the announced share of world manufacturing capacity for </w:t>
      </w:r>
      <w:r>
        <w:t>2035</w:t>
      </w:r>
      <w:r>
        <w:t xml:space="preserve">: </w:t>
      </w:r>
      <w:r>
        <w:t>15.0%</w:t>
      </w:r>
      <w:r>
        <w:t xml:space="preserve">, </w:t>
      </w:r>
      <w:r>
        <w:t>the EU's announced share, carried by each EU member</w:t>
      </w:r>
      <w:r>
        <w:t xml:space="preserve">. On annual investment, </w:t>
      </w:r>
      <w:r>
        <w:t>Denmark</w:t>
      </w:r>
      <w:r>
        <w:t xml:space="preserve"> scores higher than </w:t>
      </w:r>
      <w:r>
        <w:t>92%</w:t>
      </w:r>
      <w:r>
        <w:t xml:space="preserve"> of the other economies. In </w:t>
      </w:r>
      <w:r>
        <w:t>midstream oil</w:t>
      </w:r>
      <w:r>
        <w:t xml:space="preserve"> and </w:t>
      </w:r>
      <w:r>
        <w:t>midstream nuclear</w:t>
      </w:r>
      <w:r>
        <w:t xml:space="preserve">, trade and cost competitiveness push the score up: exports of these goods were </w:t>
      </w:r>
      <w:r>
        <w:t>USD 794 m</w:t>
      </w:r>
      <w:r>
        <w:t xml:space="preserve"> and </w:t>
      </w:r>
      <w:r>
        <w:t>USD 114 m</w:t>
      </w:r>
      <w:r>
        <w:t xml:space="preserve"> in </w:t>
      </w:r>
      <w:r>
        <w:t>2024</w:t>
      </w:r>
      <w:r>
        <w:t>.</w:t>
      </w:r>
      <w:r>
        <w:rPr>
          <w:color w:val="4B5563"/>
          <w:vertAlign w:val="superscript"/>
        </w:rPr>
        <w:t>1,5,6</w:t>
      </w:r>
    </w:p>
    <w:p>
      <w:r>
        <w:t xml:space="preserve">Among the high-priority sectors, </w:t>
      </w:r>
      <w:r>
        <w:t>downstream solar</w:t>
      </w:r>
      <w:r>
        <w:t xml:space="preserve"> has Economic Opportunity higher than </w:t>
      </w:r>
      <w:r>
        <w:t>80%</w:t>
      </w:r>
      <w:r>
        <w:t xml:space="preserve"> of the other </w:t>
      </w:r>
      <w:r>
        <w:t>147</w:t>
      </w:r>
      <w:r>
        <w:t xml:space="preserve"> economies scored. Cost competitiveness and energy access push it up: solar consumption was </w:t>
      </w:r>
      <w:r>
        <w:t>2.69 GJ per person</w:t>
      </w:r>
      <w:r>
        <w:t xml:space="preserve"> in </w:t>
      </w:r>
      <w:r>
        <w:t>2025</w:t>
      </w:r>
      <w:r>
        <w:t xml:space="preserve">, after a change of </w:t>
      </w:r>
      <w:r>
        <w:t>269.6%</w:t>
      </w:r>
      <w:r>
        <w:t xml:space="preserve">. For context, the largest markets for its </w:t>
      </w:r>
      <w:r>
        <w:t>midstream wind</w:t>
      </w:r>
      <w:r>
        <w:t xml:space="preserve"> exports of </w:t>
      </w:r>
      <w:r>
        <w:t>USD 3.97 bn</w:t>
      </w:r>
      <w:r>
        <w:t xml:space="preserve"> in </w:t>
      </w:r>
      <w:r>
        <w:t>2024</w:t>
      </w:r>
      <w:r>
        <w:t xml:space="preserve"> were the </w:t>
      </w:r>
      <w:r>
        <w:t>United States</w:t>
      </w:r>
      <w:r>
        <w:t xml:space="preserve"> (</w:t>
      </w:r>
      <w:r>
        <w:t>15.5%</w:t>
      </w:r>
      <w:r>
        <w:t xml:space="preserve">), </w:t>
      </w:r>
      <w:r>
        <w:t>France</w:t>
      </w:r>
      <w:r>
        <w:t xml:space="preserve"> (</w:t>
      </w:r>
      <w:r>
        <w:t>13.3%</w:t>
      </w:r>
      <w:r>
        <w:t xml:space="preserve">) and </w:t>
      </w:r>
      <w:r>
        <w:t>Germany</w:t>
      </w:r>
      <w:r>
        <w:t xml:space="preserve"> (</w:t>
      </w:r>
      <w:r>
        <w:t>12.6%</w:t>
      </w:r>
      <w:r>
        <w:t>).</w:t>
      </w:r>
      <w:r>
        <w:rPr>
          <w:color w:val="4B5563"/>
          <w:vertAlign w:val="superscript"/>
        </w:rPr>
        <w:t>1,2,3</w:t>
      </w:r>
    </w:p>
    <w:p>
      <w:pPr>
        <w:pStyle w:val="Heading1"/>
      </w:pPr>
      <w:r>
        <w:t>3. Sectoral priorities and the existing policy posture</w:t>
      </w:r>
    </w:p>
    <w:p>
      <w:r>
        <w:t xml:space="preserve">The Strategic Index ranks a country's own sectors by opportunity, security need, policy activity, stage and low-emission value. On the paper's weighting, it puts </w:t>
      </w:r>
      <w:r>
        <w:t>upstream nuclear</w:t>
      </w:r>
      <w:r>
        <w:t xml:space="preserve"> </w:t>
      </w:r>
      <w:r>
        <w:t>1st</w:t>
      </w:r>
      <w:r>
        <w:t xml:space="preserve">, </w:t>
      </w:r>
      <w:r>
        <w:t>upstream batteries</w:t>
      </w:r>
      <w:r>
        <w:t xml:space="preserve"> </w:t>
      </w:r>
      <w:r>
        <w:t>2nd</w:t>
      </w:r>
      <w:r>
        <w:t xml:space="preserve">, </w:t>
      </w:r>
      <w:r>
        <w:t>upstream wind</w:t>
      </w:r>
      <w:r>
        <w:t xml:space="preserve"> </w:t>
      </w:r>
      <w:r>
        <w:t>3rd</w:t>
      </w:r>
      <w:r>
        <w:t xml:space="preserve">, </w:t>
      </w:r>
      <w:r>
        <w:t>midstream batteries</w:t>
      </w:r>
      <w:r>
        <w:t xml:space="preserve"> </w:t>
      </w:r>
      <w:r>
        <w:t>4th</w:t>
      </w:r>
      <w:r>
        <w:t xml:space="preserve"> and </w:t>
      </w:r>
      <w:r>
        <w:t>upstream solar</w:t>
      </w:r>
      <w:r>
        <w:t xml:space="preserve"> </w:t>
      </w:r>
      <w:r>
        <w:t>5th</w:t>
      </w:r>
      <w:r>
        <w:t xml:space="preserve"> among </w:t>
      </w:r>
      <w:r>
        <w:t>Denmark</w:t>
      </w:r>
      <w:r>
        <w:t xml:space="preserve">'s own sectors. At </w:t>
      </w:r>
      <w:r>
        <w:t>0.66</w:t>
      </w:r>
      <w:r>
        <w:t xml:space="preserve">, </w:t>
      </w:r>
      <w:r>
        <w:t>upstream nuclear</w:t>
      </w:r>
      <w:r>
        <w:t xml:space="preserve"> leads by </w:t>
      </w:r>
      <w:r>
        <w:t>0.015</w:t>
      </w:r>
      <w:r>
        <w:t>, while the others are each almost tied with the next (</w:t>
      </w:r>
      <w:r>
        <w:t>0.007</w:t>
      </w:r>
      <w:r>
        <w:t xml:space="preserve">, </w:t>
      </w:r>
      <w:r>
        <w:t>0.004</w:t>
      </w:r>
      <w:r>
        <w:t xml:space="preserve">, just under </w:t>
      </w:r>
      <w:r>
        <w:t>0.010</w:t>
      </w:r>
      <w:r>
        <w:t xml:space="preserve"> and </w:t>
      </w:r>
      <w:r>
        <w:t>0.001</w:t>
      </w:r>
      <w:r>
        <w:t xml:space="preserve"> apart). Of these, </w:t>
      </w:r>
      <w:r>
        <w:t>upstream nuclear</w:t>
      </w:r>
      <w:r>
        <w:t xml:space="preserve">, </w:t>
      </w:r>
      <w:r>
        <w:t>upstream batteries</w:t>
      </w:r>
      <w:r>
        <w:t xml:space="preserve">, </w:t>
      </w:r>
      <w:r>
        <w:t>upstream wind</w:t>
      </w:r>
      <w:r>
        <w:t xml:space="preserve"> and </w:t>
      </w:r>
      <w:r>
        <w:t>midstream batteries</w:t>
      </w:r>
      <w:r>
        <w:t xml:space="preserve"> sit in the </w:t>
      </w:r>
      <w:r>
        <w:t>Secure</w:t>
      </w:r>
      <w:r>
        <w:t xml:space="preserve"> corner, so security need lifts them: in </w:t>
      </w:r>
      <w:r>
        <w:t>upstream nuclear</w:t>
      </w:r>
      <w:r>
        <w:t xml:space="preserve"> that part adds </w:t>
      </w:r>
      <w:r>
        <w:t>0.252</w:t>
      </w:r>
      <w:r>
        <w:t xml:space="preserve">, against </w:t>
      </w:r>
      <w:r>
        <w:t>0.154</w:t>
      </w:r>
      <w:r>
        <w:t xml:space="preserve"> for opportunity. The paper's framework associates that corner with securing supply through trusted partners.</w:t>
      </w:r>
      <w:r>
        <w:rPr>
          <w:color w:val="4B5563"/>
          <w:vertAlign w:val="superscript"/>
        </w:rPr>
        <w:t>1</w:t>
      </w:r>
    </w:p>
    <w:p>
      <w:r>
        <w:t>Denmark</w:t>
      </w:r>
      <w:r>
        <w:t xml:space="preserve">'s allied pick, its top upstream or midstream sector after a screen for a recorded resource base, is </w:t>
      </w:r>
      <w:r>
        <w:t>midstream batteries</w:t>
      </w:r>
      <w:r>
        <w:t xml:space="preserve"> (</w:t>
      </w:r>
      <w:r>
        <w:t>0.64</w:t>
      </w:r>
      <w:r>
        <w:t xml:space="preserve">), </w:t>
      </w:r>
      <w:r>
        <w:t>0.011</w:t>
      </w:r>
      <w:r>
        <w:t xml:space="preserve"> ahead of </w:t>
      </w:r>
      <w:r>
        <w:t>midstream solar</w:t>
      </w:r>
      <w:r>
        <w:t xml:space="preserve">. The screen removes </w:t>
      </w:r>
      <w:r>
        <w:t>upstream nuclear</w:t>
      </w:r>
      <w:r>
        <w:t xml:space="preserve">, </w:t>
      </w:r>
      <w:r>
        <w:t>upstream batteries</w:t>
      </w:r>
      <w:r>
        <w:t xml:space="preserve"> and </w:t>
      </w:r>
      <w:r>
        <w:t>upstream wind</w:t>
      </w:r>
      <w:r>
        <w:t>.</w:t>
      </w:r>
      <w:r>
        <w:rPr>
          <w:color w:val="4B5563"/>
          <w:vertAlign w:val="superscript"/>
        </w:rPr>
        <w:t>7</w:t>
      </w:r>
    </w:p>
    <w:p>
      <w:r>
        <w:t xml:space="preserve">Policy activity counts the International Energy Agency's Policies and Measures records and the Climate Action Tracker rating, which favours low-emission technologies over coal, oil and gas. Country Insights splits data-based priority (the Strategic Index without its policy part) and policy activity into thirds; both are high in </w:t>
      </w:r>
      <w:r>
        <w:t>upstream batteries, midstream batteries and midstream solar</w:t>
      </w:r>
      <w:r>
        <w:t xml:space="preserve">. No sector pairs high priority with the least policy; among high priorities, policy is weakest in </w:t>
      </w:r>
      <w:r>
        <w:t>upstream green hydrogen</w:t>
      </w:r>
      <w:r>
        <w:t xml:space="preserve"> (</w:t>
      </w:r>
      <w:r>
        <w:t>3rd</w:t>
      </w:r>
      <w:r>
        <w:t xml:space="preserve"> on priority, </w:t>
      </w:r>
      <w:r>
        <w:t>18th</w:t>
      </w:r>
      <w:r>
        <w:t xml:space="preserve"> on policy). The reverse, low priority with the most policy, applies to </w:t>
      </w:r>
      <w:r>
        <w:t>downstream wind</w:t>
      </w:r>
      <w:r>
        <w:t xml:space="preserve">. </w:t>
      </w:r>
      <w:r>
        <w:t>Denmark</w:t>
      </w:r>
      <w:r>
        <w:t xml:space="preserve"> carries the Climate Action Tracker rating </w:t>
      </w:r>
      <w:r>
        <w:t>Insufficient</w:t>
      </w:r>
      <w:r>
        <w:t xml:space="preserve"> (</w:t>
      </w:r>
      <w:r>
        <w:t>November 2024</w:t>
      </w:r>
      <w:r>
        <w:t xml:space="preserve">) and has </w:t>
      </w:r>
      <w:r>
        <w:t>195</w:t>
      </w:r>
      <w:r>
        <w:t xml:space="preserve"> Policies and Measures records.</w:t>
      </w:r>
      <w:r>
        <w:rPr>
          <w:color w:val="4B5563"/>
          <w:vertAlign w:val="superscript"/>
        </w:rPr>
        <w:t>1,8,9</w:t>
      </w:r>
    </w:p>
    <w:p>
      <w:pPr>
        <w:pStyle w:val="Heading1"/>
      </w:pPr>
      <w:r>
        <w:t>4. Partnership priorities and why</w:t>
      </w:r>
    </w:p>
    <w:p>
      <w:r>
        <w:t xml:space="preserve">The Partnership Strength Index rates partners as suppliers (Friendshore), as export markets (Partnership Opportunity) and, for middle- and lower-income partners, by Development Potential. From </w:t>
      </w:r>
      <w:r>
        <w:t>Denmark</w:t>
      </w:r>
      <w:r>
        <w:t xml:space="preserve">'s viewpoint it ranks </w:t>
      </w:r>
      <w:r>
        <w:t>Sweden</w:t>
      </w:r>
      <w:r>
        <w:t xml:space="preserve"> </w:t>
      </w:r>
      <w:r>
        <w:t>1st</w:t>
      </w:r>
      <w:r>
        <w:t xml:space="preserve">, the </w:t>
      </w:r>
      <w:r>
        <w:t>United States</w:t>
      </w:r>
      <w:r>
        <w:t xml:space="preserve"> </w:t>
      </w:r>
      <w:r>
        <w:t>2nd</w:t>
      </w:r>
      <w:r>
        <w:t xml:space="preserve">, </w:t>
      </w:r>
      <w:r>
        <w:t>France</w:t>
      </w:r>
      <w:r>
        <w:t xml:space="preserve"> </w:t>
      </w:r>
      <w:r>
        <w:t>3rd</w:t>
      </w:r>
      <w:r>
        <w:t xml:space="preserve">, </w:t>
      </w:r>
      <w:r>
        <w:t>Germany</w:t>
      </w:r>
      <w:r>
        <w:t xml:space="preserve"> </w:t>
      </w:r>
      <w:r>
        <w:t>4th</w:t>
      </w:r>
      <w:r>
        <w:t xml:space="preserve"> and the </w:t>
      </w:r>
      <w:r>
        <w:t>Netherlands</w:t>
      </w:r>
      <w:r>
        <w:t xml:space="preserve"> </w:t>
      </w:r>
      <w:r>
        <w:t>5th</w:t>
      </w:r>
      <w:r>
        <w:t xml:space="preserve"> of </w:t>
      </w:r>
      <w:r>
        <w:t>192</w:t>
      </w:r>
      <w:r>
        <w:t xml:space="preserve"> partners. </w:t>
      </w:r>
      <w:r>
        <w:t>Sweden</w:t>
      </w:r>
      <w:r>
        <w:t xml:space="preserve"> and </w:t>
      </w:r>
      <w:r>
        <w:t>France</w:t>
      </w:r>
      <w:r>
        <w:t xml:space="preserve"> score best as an </w:t>
      </w:r>
      <w:r>
        <w:t>export market</w:t>
      </w:r>
      <w:r>
        <w:t xml:space="preserve">; the best sectors for </w:t>
      </w:r>
      <w:r>
        <w:t>Sweden</w:t>
      </w:r>
      <w:r>
        <w:t xml:space="preserve"> include </w:t>
      </w:r>
      <w:r>
        <w:t>upstream oil, midstream wind, midstream nuclear, upstream gas and midstream batteries</w:t>
      </w:r>
      <w:r>
        <w:t xml:space="preserve">. The </w:t>
      </w:r>
      <w:r>
        <w:t>United States</w:t>
      </w:r>
      <w:r>
        <w:t xml:space="preserve">, </w:t>
      </w:r>
      <w:r>
        <w:t>Germany</w:t>
      </w:r>
      <w:r>
        <w:t xml:space="preserve"> and the </w:t>
      </w:r>
      <w:r>
        <w:t>Netherlands</w:t>
      </w:r>
      <w:r>
        <w:t xml:space="preserve"> score best as a </w:t>
      </w:r>
      <w:r>
        <w:t>reliable supplier</w:t>
      </w:r>
      <w:r>
        <w:t xml:space="preserve">; for the </w:t>
      </w:r>
      <w:r>
        <w:t>United States</w:t>
      </w:r>
      <w:r>
        <w:t xml:space="preserve"> the best sectors are </w:t>
      </w:r>
      <w:r>
        <w:t>downstream gas, downstream solar, upstream oil, midstream batteries and upstream coal</w:t>
      </w:r>
      <w:r>
        <w:t>.</w:t>
      </w:r>
      <w:r>
        <w:rPr>
          <w:color w:val="4B5563"/>
          <w:vertAlign w:val="superscript"/>
        </w:rPr>
        <w:t>1</w:t>
      </w:r>
    </w:p>
    <w:p>
      <w:r>
        <w:t xml:space="preserve">These priorities largely match today's ties. </w:t>
      </w:r>
      <w:r>
        <w:t>Sweden</w:t>
      </w:r>
      <w:r>
        <w:t xml:space="preserve"> is also </w:t>
      </w:r>
      <w:r>
        <w:t>Denmark</w:t>
      </w:r>
      <w:r>
        <w:t xml:space="preserve">'s </w:t>
      </w:r>
      <w:r>
        <w:t>1st</w:t>
      </w:r>
      <w:r>
        <w:t xml:space="preserve"> trade partner on average across its energy-goods baskets, </w:t>
      </w:r>
      <w:r>
        <w:t>Germany</w:t>
      </w:r>
      <w:r>
        <w:t xml:space="preserve"> its </w:t>
      </w:r>
      <w:r>
        <w:t>2nd</w:t>
      </w:r>
      <w:r>
        <w:t xml:space="preserve">, the </w:t>
      </w:r>
      <w:r>
        <w:t>Netherlands</w:t>
      </w:r>
      <w:r>
        <w:t xml:space="preserve"> its </w:t>
      </w:r>
      <w:r>
        <w:t>4th</w:t>
      </w:r>
      <w:r>
        <w:t xml:space="preserve">, </w:t>
      </w:r>
      <w:r>
        <w:t>France</w:t>
      </w:r>
      <w:r>
        <w:t xml:space="preserve"> its </w:t>
      </w:r>
      <w:r>
        <w:t>6th</w:t>
      </w:r>
      <w:r>
        <w:t xml:space="preserve"> and the </w:t>
      </w:r>
      <w:r>
        <w:t>United States</w:t>
      </w:r>
      <w:r>
        <w:t xml:space="preserve"> its </w:t>
      </w:r>
      <w:r>
        <w:t>8th</w:t>
      </w:r>
      <w:r>
        <w:t xml:space="preserve">. Each is </w:t>
      </w:r>
      <w:r>
        <w:t>a priority partner with strong ties today</w:t>
      </w:r>
      <w:r>
        <w:t xml:space="preserve">, shares membership of </w:t>
      </w:r>
      <w:r>
        <w:t>NATO</w:t>
      </w:r>
      <w:r>
        <w:t xml:space="preserve"> with </w:t>
      </w:r>
      <w:r>
        <w:t>Denmark</w:t>
      </w:r>
      <w:r>
        <w:t xml:space="preserve"> and sits in the </w:t>
      </w:r>
      <w:r>
        <w:t>same bloc</w:t>
      </w:r>
      <w:r>
        <w:t xml:space="preserve"> in UN votes. By contrast, </w:t>
      </w:r>
      <w:r>
        <w:t>China</w:t>
      </w:r>
      <w:r>
        <w:t xml:space="preserve"> is its </w:t>
      </w:r>
      <w:r>
        <w:t>7th</w:t>
      </w:r>
      <w:r>
        <w:t xml:space="preserve"> trade partner but ranks </w:t>
      </w:r>
      <w:r>
        <w:t>44th</w:t>
      </w:r>
      <w:r>
        <w:t xml:space="preserve"> on Partnership Strength, and </w:t>
      </w:r>
      <w:r>
        <w:t>China</w:t>
      </w:r>
      <w:r>
        <w:t xml:space="preserve"> and </w:t>
      </w:r>
      <w:r>
        <w:t>Denmark</w:t>
      </w:r>
      <w:r>
        <w:t xml:space="preserve"> sit in </w:t>
      </w:r>
      <w:r>
        <w:t>opposite blocs</w:t>
      </w:r>
      <w:r>
        <w:t xml:space="preserve"> in UN votes.</w:t>
      </w:r>
      <w:r>
        <w:rPr>
          <w:color w:val="4B5563"/>
          <w:vertAlign w:val="superscript"/>
        </w:rPr>
        <w:t>1,2,10,11</w:t>
      </w:r>
    </w:p>
    <w:p>
      <w:r>
        <w:t xml:space="preserve">As a partner to the coalition, </w:t>
      </w:r>
      <w:r>
        <w:t>Denmark</w:t>
      </w:r>
      <w:r>
        <w:t xml:space="preserve"> ranks </w:t>
      </w:r>
      <w:r>
        <w:t>17th</w:t>
      </w:r>
      <w:r>
        <w:t xml:space="preserve"> of </w:t>
      </w:r>
      <w:r>
        <w:t>192</w:t>
      </w:r>
      <w:r>
        <w:t xml:space="preserve"> economies on Partnership Strength averaged over the core members' viewpoints. In the allied network design, which spreads production of each upstream and midstream sector across coalition members, its largest derived share is </w:t>
      </w:r>
      <w:r>
        <w:t>0.5%</w:t>
      </w:r>
      <w:r>
        <w:t xml:space="preserve"> of </w:t>
      </w:r>
      <w:r>
        <w:t>midstream green hydrogen</w:t>
      </w:r>
      <w:r>
        <w:t>.</w:t>
      </w:r>
      <w:r>
        <w:rPr>
          <w:color w:val="4B5563"/>
          <w:vertAlign w:val="superscript"/>
        </w:rPr>
        <w:t>1,7</w:t>
      </w:r>
    </w:p>
    <w:p>
      <w:pPr>
        <w:pStyle w:val="Heading1"/>
      </w:pPr>
      <w:r>
        <w:t>5. Data notes and caveats</w:t>
      </w:r>
    </w:p>
    <w:p>
      <w:r>
        <w:t xml:space="preserve">Values are the paper's baseline as of </w:t>
      </w:r>
      <w:r>
        <w:t>12 October 2026</w:t>
      </w:r>
      <w:r>
        <w:t xml:space="preserve">. </w:t>
      </w:r>
      <w:r>
        <w:t>Scores compare Denmark with other economies in the same sector; they are not measures of risk or profit in absolute terms.</w:t>
      </w:r>
      <w:r>
        <w:t xml:space="preserve"> </w:t>
      </w:r>
      <w:r>
        <w:t>All index values are the paper's baseline as of 12 October 2026; Strategic Insights recomputes them under other weightings.</w:t>
      </w:r>
      <w:r>
        <w:t xml:space="preserve"> </w:t>
      </w:r>
      <w:r>
        <w:t>Strategic Index scores within 0.01 of each other are almost tied: small changes in the data or the weights can swap their order.</w:t>
      </w:r>
      <w:r>
        <w:t xml:space="preserve"> </w:t>
      </w:r>
      <w:r>
        <w:t>Many allied picks are close calls: in the paper, 37% of them are within 0.01 of the runner-up.</w:t>
      </w:r>
      <w:r>
        <w:t xml:space="preserve"> </w:t>
      </w:r>
      <w:r>
        <w:t>In the allied network design the European Union is one producer; Denmark's shares are derived from its weight within the EU.</w:t>
      </w:r>
      <w:r>
        <w:t xml:space="preserve"> </w:t>
      </w:r>
      <w:r>
        <w:t>The Climate Action Tracker rates the EU as a whole; Denmark carries the EU's rating.</w:t>
      </w:r>
      <w:r>
        <w:t xml:space="preserve"> </w:t>
      </w:r>
      <w:r>
        <w:t>Denmark's counts leave out the EU's own 438 International Energy Agency policy records.</w:t>
      </w:r>
      <w:r>
        <w:t xml:space="preserve"> </w:t>
      </w:r>
      <w:r>
        <w:t>Trade figures count trade with other EU members.</w:t>
      </w:r>
      <w:r>
        <w:t xml:space="preserve"> </w:t>
      </w:r>
      <w:r>
        <w:t>Each EU member carries the EU's announced 2035 manufacturing-capacity shares and electric-vehicle figures.</w:t>
      </w:r>
      <w:r>
        <w:t xml:space="preserve"> The Country Insights page shows the data behind each figure.</w:t>
      </w:r>
    </w:p>
    <w:p>
      <w:pPr>
        <w:pStyle w:val="Heading2"/>
        <w:pBdr>
          <w:top w:val="single" w:sz="4" w:space="4" w:color="D1D5DB"/>
        </w:pBdr>
      </w:pPr>
      <w:r>
        <w:t>Sources</w:t>
      </w:r>
    </w:p>
    <w:p>
      <w:pPr>
        <w:pStyle w:val="ListNumber"/>
      </w:pPr>
      <w:r>
        <w:rPr>
          <w:sz w:val="17"/>
        </w:rPr>
        <w:t>Energy Security, Economic Opportunity, Strategic Index and Partnership Strength Index, paper baseline (Opportunity Security Indices pipeline); CC BY 4.0 (the paper's indices).</w:t>
      </w:r>
    </w:p>
    <w:p>
      <w:pPr>
        <w:pStyle w:val="ListNumber"/>
      </w:pPr>
      <w:r>
        <w:rPr>
          <w:sz w:val="17"/>
        </w:rPr>
        <w:t>United Nations, UN Comtrade Database, HS6 bilateral trade (all reporters), 2020 and 2024; reconciled by the authors (pulled 2026-10-07 to 2026-10-09); attribution; https://comtradeplus.un.org/.</w:t>
      </w:r>
    </w:p>
    <w:p>
      <w:pPr>
        <w:pStyle w:val="ListNumber"/>
      </w:pPr>
      <w:r>
        <w:rPr>
          <w:sz w:val="17"/>
        </w:rPr>
        <w:t>Energy Institute, Statistical Review of World Energy 2026 (data to 2025); attribution; https://www.energyinst.org/statistical-review.</w:t>
      </w:r>
    </w:p>
    <w:p>
      <w:pPr>
        <w:pStyle w:val="ListNumber"/>
      </w:pPr>
      <w:r>
        <w:rPr>
          <w:sz w:val="17"/>
        </w:rPr>
        <w:t>Growth Lab at Harvard University, The Atlas of Economic Complexity, HS92 6-digit country-product-year data (data to 2023); attribution; https://atlas.hks.harvard.edu/.</w:t>
      </w:r>
    </w:p>
    <w:p>
      <w:pPr>
        <w:pStyle w:val="ListNumber"/>
      </w:pPr>
      <w:r>
        <w:rPr>
          <w:sz w:val="17"/>
        </w:rPr>
        <w:t>International Energy Agency, Energy Technology Perspectives 2024: manufacturing capacity shares; International Energy Agency terms of use; https://www.iea.org/.</w:t>
      </w:r>
    </w:p>
    <w:p>
      <w:pPr>
        <w:pStyle w:val="ListNumber"/>
      </w:pPr>
      <w:r>
        <w:rPr>
          <w:sz w:val="17"/>
        </w:rPr>
        <w:t>United Nations, UN Comtrade Database, exports to World by reporter, 2024 (2024 data); attribution; https://comtradeplus.un.org/.</w:t>
      </w:r>
    </w:p>
    <w:p>
      <w:pPr>
        <w:pStyle w:val="ListNumber"/>
      </w:pPr>
      <w:r>
        <w:rPr>
          <w:sz w:val="17"/>
        </w:rPr>
        <w:t>Allied network design (the paper's model design of coalition production shares).</w:t>
      </w:r>
    </w:p>
    <w:p>
      <w:pPr>
        <w:pStyle w:val="ListNumber"/>
      </w:pPr>
      <w:r>
        <w:rPr>
          <w:sz w:val="17"/>
        </w:rPr>
        <w:t>International Energy Agency, Policies and Measures Database (export of 2026-09-30); attribution; https://www.iea.org/policies.</w:t>
      </w:r>
    </w:p>
    <w:p>
      <w:pPr>
        <w:pStyle w:val="ListNumber"/>
      </w:pPr>
      <w:r>
        <w:rPr>
          <w:sz w:val="17"/>
        </w:rPr>
        <w:t>Climate Action Tracker, country ratings (ratings updated 2022-2025); attribution; https://climateactiontracker.org/.</w:t>
      </w:r>
    </w:p>
    <w:p>
      <w:pPr>
        <w:pStyle w:val="ListNumber"/>
      </w:pPr>
      <w:r>
        <w:rPr>
          <w:sz w:val="17"/>
        </w:rPr>
        <w:t>Economic-security agreements: G7, NATO, Indo-Pacific Economic Framework, Minerals Security Partnership (and Forum), U.S. free-trade agreements (compiled by the authors from official membership lists).</w:t>
      </w:r>
    </w:p>
    <w:p>
      <w:pPr>
        <w:pStyle w:val="ListNumber"/>
      </w:pPr>
      <w:r>
        <w:rPr>
          <w:sz w:val="17"/>
        </w:rPr>
        <w:t>Bailey, M., Strezhnev, A. and Voeten, E., United Nations General Assembly Voting Data, ideal points (Harvard Dataverse V39.0) (sessions to 2023); attribution; https://dataverse.harvard.edu/dataset.xhtml?persistentId=hdl:1902.1/12379.</w:t>
      </w:r>
    </w:p>
    <w:p>
      <w:pPr>
        <w:pBdr>
          <w:top w:val="single" w:sz="4" w:space="4" w:color="D1D5DB"/>
        </w:pBdr>
      </w:pPr>
      <w:r>
        <w:rPr>
          <w:i/>
          <w:color w:val="4B5563"/>
          <w:sz w:val="18"/>
        </w:rPr>
        <w:t>AI-generated from the data and checked against it; paper baseline as of 12 October 2026.</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i/>
        <w:color w:val="4B5563"/>
        <w:sz w:val="16"/>
      </w:rPr>
      <w:t>AI-generated from the data and checked against it; paper baseline as of 12 October 2026.  Allied Industrial Base Explorer, Country Insights: Denmark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11827"/>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1182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11182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11182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Denmark: energy security, economic opportunity and partnership priorities</dc:title>
  <dc:subject>Country Insights policy memo</dc:subject>
  <dc:creator>NEIS Center, Allied Industrial Base Explorer (AI-generated, checked against the data)</dc:creator>
  <cp:keywords>energy security; economic opportunity; Strategic Index; Partnership Strength Index; DNK</cp:keywords>
  <dc:description>paper baseline as of 12 October 2026; fact sheet sha256 d7e4c33cbfb24294dd9b4d575dca29f3c53eeeb9ded00deedc2b7518795613d4</dc:description>
  <cp:lastModifiedBy/>
  <cp:revision>1</cp:revision>
  <dcterms:created xsi:type="dcterms:W3CDTF">2013-12-23T23:15:00Z</dcterms:created>
  <dcterms:modified xsi:type="dcterms:W3CDTF">2013-12-23T23:15:00Z</dcterms:modified>
  <cp:category/>
</cp:coreProperties>
</file>