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Spain: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Spain</w:t>
            </w:r>
            <w:r>
              <w:t xml:space="preserve"> is most exposed in </w:t>
            </w:r>
            <w:r>
              <w:t>upstream gas</w:t>
            </w:r>
            <w:r>
              <w:t xml:space="preserve"> and </w:t>
            </w:r>
            <w:r>
              <w:t>upstream oil</w:t>
            </w:r>
            <w:r>
              <w:t xml:space="preserve">, where its Energy Security is higher than only </w:t>
            </w:r>
            <w:r>
              <w:t>4%</w:t>
            </w:r>
            <w:r>
              <w:t xml:space="preserve"> and </w:t>
            </w:r>
            <w:r>
              <w:t>10%</w:t>
            </w:r>
            <w:r>
              <w:t xml:space="preserve"> of the other economies scored. Production falls short of consumption in both, and no proved reserves are recorded.</w:t>
            </w:r>
            <w:r>
              <w:rPr>
                <w:color w:val="4B5563"/>
                <w:vertAlign w:val="superscript"/>
              </w:rPr>
              <w:t>1</w:t>
            </w:r>
          </w:p>
          <w:p>
            <w:pPr>
              <w:pStyle w:val="ListBullet"/>
            </w:pPr>
            <w:r>
              <w:t xml:space="preserve">Its strongest openings are in </w:t>
            </w:r>
            <w:r>
              <w:t>midstream electric vehicles</w:t>
            </w:r>
            <w:r>
              <w:t xml:space="preserve">, </w:t>
            </w:r>
            <w:r>
              <w:t>downstream solar</w:t>
            </w:r>
            <w:r>
              <w:t xml:space="preserve"> and </w:t>
            </w:r>
            <w:r>
              <w:t>upstream solar</w:t>
            </w:r>
            <w:r>
              <w:t xml:space="preserve">, where its Economic Opportunity is higher than </w:t>
            </w:r>
            <w:r>
              <w:t>99%</w:t>
            </w:r>
            <w:r>
              <w:t xml:space="preserve">, </w:t>
            </w:r>
            <w:r>
              <w:t>95%</w:t>
            </w:r>
            <w:r>
              <w:t xml:space="preserve"> and </w:t>
            </w:r>
            <w:r>
              <w:t>95%</w:t>
            </w:r>
            <w:r>
              <w:t xml:space="preserve"> of the other economies scored. Investment, production and trade, respectively, push these scores up.</w:t>
            </w:r>
            <w:r>
              <w:rPr>
                <w:color w:val="4B5563"/>
                <w:vertAlign w:val="superscript"/>
              </w:rPr>
              <w:t>1</w:t>
            </w:r>
          </w:p>
          <w:p>
            <w:pPr>
              <w:pStyle w:val="ListBullet"/>
            </w:pPr>
            <w:r>
              <w:t xml:space="preserve">On the paper's weighting, the Strategic Index ranks </w:t>
            </w:r>
            <w:r>
              <w:t>midstream batteries</w:t>
            </w:r>
            <w:r>
              <w:t xml:space="preserve"> </w:t>
            </w:r>
            <w:r>
              <w:t>1st</w:t>
            </w:r>
            <w:r>
              <w:t xml:space="preserve"> among its own sectors, almost tied with </w:t>
            </w:r>
            <w:r>
              <w:t>downstream solar</w:t>
            </w:r>
            <w:r>
              <w:t xml:space="preserve">. Policy activity agrees for that sector, which combines </w:t>
            </w:r>
            <w:r>
              <w:t>top priority with the most policy</w:t>
            </w:r>
            <w:r>
              <w:t>.</w:t>
            </w:r>
            <w:r>
              <w:rPr>
                <w:color w:val="4B5563"/>
                <w:vertAlign w:val="superscript"/>
              </w:rPr>
              <w:t>1</w:t>
            </w:r>
          </w:p>
          <w:p>
            <w:pPr>
              <w:pStyle w:val="ListBullet"/>
            </w:pPr>
            <w:r>
              <w:t xml:space="preserve">The Partnership Strength Index rates </w:t>
            </w:r>
            <w:r>
              <w:t>Portugal</w:t>
            </w:r>
            <w:r>
              <w:t xml:space="preserve"> highest for </w:t>
            </w:r>
            <w:r>
              <w:t>Spain</w:t>
            </w:r>
            <w:r>
              <w:t xml:space="preserve">, as a </w:t>
            </w:r>
            <w:r>
              <w:t>reliable supplier</w:t>
            </w:r>
            <w:r>
              <w:t xml:space="preserve">. </w:t>
            </w:r>
            <w:r>
              <w:t>China</w:t>
            </w:r>
            <w:r>
              <w:t xml:space="preserve"> is its </w:t>
            </w:r>
            <w:r>
              <w:t>1st</w:t>
            </w:r>
            <w:r>
              <w:t xml:space="preserve"> trade partner but ranks </w:t>
            </w:r>
            <w:r>
              <w:t>45th</w:t>
            </w:r>
            <w:r>
              <w:t xml:space="preserve"> on Partnership Strength.</w:t>
            </w:r>
            <w:r>
              <w:rPr>
                <w:color w:val="4B5563"/>
                <w:vertAlign w:val="superscript"/>
              </w:rPr>
              <w:t>1,2</w:t>
            </w:r>
          </w:p>
        </w:tc>
      </w:tr>
    </w:tbl>
    <w:p/>
    <w:p>
      <w:pPr>
        <w:pStyle w:val="Heading1"/>
      </w:pPr>
      <w:r>
        <w:t>1. Energy security risks and why</w:t>
      </w:r>
    </w:p>
    <w:p>
      <w:r>
        <w:t>4</w:t>
      </w:r>
      <w:r>
        <w:t xml:space="preserve"> of </w:t>
      </w:r>
      <w:r>
        <w:t>Spain</w:t>
      </w:r>
      <w:r>
        <w:t xml:space="preserve">'s </w:t>
      </w:r>
      <w:r>
        <w:t>30</w:t>
      </w:r>
      <w:r>
        <w:t xml:space="preserve"> placed sectors, those whose scores can both be compared with other economies, sit in the two low-energy-security corners. Energy Security measures how well a country can rely on what it needs in a sector. Measured against other economies, its lowest Energy Security is in </w:t>
      </w:r>
      <w:r>
        <w:t>upstream gas</w:t>
      </w:r>
      <w:r>
        <w:t xml:space="preserve"> (</w:t>
      </w:r>
      <w:r>
        <w:t>0.25</w:t>
      </w:r>
      <w:r>
        <w:t xml:space="preserve">), </w:t>
      </w:r>
      <w:r>
        <w:t>upstream oil</w:t>
      </w:r>
      <w:r>
        <w:t xml:space="preserve"> (</w:t>
      </w:r>
      <w:r>
        <w:t>0.36</w:t>
      </w:r>
      <w:r>
        <w:t xml:space="preserve">) and </w:t>
      </w:r>
      <w:r>
        <w:t>downstream coal</w:t>
      </w:r>
      <w:r>
        <w:t xml:space="preserve"> (</w:t>
      </w:r>
      <w:r>
        <w:t>0.42</w:t>
      </w:r>
      <w:r>
        <w:t xml:space="preserve">). These are higher than only </w:t>
      </w:r>
      <w:r>
        <w:t>4%</w:t>
      </w:r>
      <w:r>
        <w:t xml:space="preserve">, </w:t>
      </w:r>
      <w:r>
        <w:t>10%</w:t>
      </w:r>
      <w:r>
        <w:t xml:space="preserve"> and </w:t>
      </w:r>
      <w:r>
        <w:t>23%</w:t>
      </w:r>
      <w:r>
        <w:t xml:space="preserve"> of the other </w:t>
      </w:r>
      <w:r>
        <w:t>97</w:t>
      </w:r>
      <w:r>
        <w:t xml:space="preserve">, </w:t>
      </w:r>
      <w:r>
        <w:t>96</w:t>
      </w:r>
      <w:r>
        <w:t xml:space="preserve"> and </w:t>
      </w:r>
      <w:r>
        <w:t>98</w:t>
      </w:r>
      <w:r>
        <w:t xml:space="preserve"> economies scored in these sectors. Both upstream sectors sit in the </w:t>
      </w:r>
      <w:r>
        <w:t>Upgrade</w:t>
      </w:r>
      <w:r>
        <w:t xml:space="preserve"> corner; </w:t>
      </w:r>
      <w:r>
        <w:t>downstream coal</w:t>
      </w:r>
      <w:r>
        <w:t xml:space="preserve"> and </w:t>
      </w:r>
      <w:r>
        <w:t>downstream gas</w:t>
      </w:r>
      <w:r>
        <w:t xml:space="preserve"> sit in the </w:t>
      </w:r>
      <w:r>
        <w:t>Secure</w:t>
      </w:r>
      <w:r>
        <w:t xml:space="preserve"> corner. The paper's framework associates the Upgrade corner with building domestic capability and the Secure corner with securing supply through trusted partners.</w:t>
      </w:r>
      <w:r>
        <w:rPr>
          <w:color w:val="4B5563"/>
          <w:vertAlign w:val="superscript"/>
        </w:rPr>
        <w:t>1</w:t>
      </w:r>
    </w:p>
    <w:p>
      <w:r>
        <w:t>Spain</w:t>
      </w:r>
      <w:r>
        <w:t xml:space="preserve">'s high-priority sectors, those in the Upgrade corner ranked by the Strategic Index, are </w:t>
      </w:r>
      <w:r>
        <w:t>upstream gas and upstream oil</w:t>
      </w:r>
      <w:r>
        <w:t xml:space="preserve">. In both, the score is low mainly because of energy imports and reserves. Gas production minus consumption was </w:t>
      </w:r>
      <w:r>
        <w:t>-1.13 EJ</w:t>
      </w:r>
      <w:r>
        <w:t xml:space="preserve"> in </w:t>
      </w:r>
      <w:r>
        <w:t>2025</w:t>
      </w:r>
      <w:r>
        <w:t xml:space="preserve">, and for oil it was </w:t>
      </w:r>
      <w:r>
        <w:t>-2.65 EJ</w:t>
      </w:r>
      <w:r>
        <w:t xml:space="preserve">. Both figures take </w:t>
      </w:r>
      <w:r>
        <w:t>production from the U.S. Energy Information Administration's international statistics, as the Energy Institute does not report it separately</w:t>
      </w:r>
      <w:r>
        <w:t xml:space="preserve">. No proved gas or oil reserves are recorded, which the index counts as zero; filled-in data carry </w:t>
      </w:r>
      <w:r>
        <w:t>28.6%</w:t>
      </w:r>
      <w:r>
        <w:t xml:space="preserve"> of the weight of each score.</w:t>
      </w:r>
      <w:r>
        <w:rPr>
          <w:color w:val="4B5563"/>
          <w:vertAlign w:val="superscript"/>
        </w:rPr>
        <w:t>1,3,4</w:t>
      </w:r>
    </w:p>
    <w:p>
      <w:r>
        <w:t xml:space="preserve">For context, its largest suppliers of </w:t>
      </w:r>
      <w:r>
        <w:t>upstream gas</w:t>
      </w:r>
      <w:r>
        <w:t xml:space="preserve"> goods in </w:t>
      </w:r>
      <w:r>
        <w:t>2024</w:t>
      </w:r>
      <w:r>
        <w:t xml:space="preserve"> were </w:t>
      </w:r>
      <w:r>
        <w:t>Algeria</w:t>
      </w:r>
      <w:r>
        <w:t xml:space="preserve"> (</w:t>
      </w:r>
      <w:r>
        <w:t>41.3%</w:t>
      </w:r>
      <w:r>
        <w:t xml:space="preserve"> of imports, which totalled </w:t>
      </w:r>
      <w:r>
        <w:t>USD 9.59 bn</w:t>
      </w:r>
      <w:r>
        <w:t xml:space="preserve">), </w:t>
      </w:r>
      <w:r>
        <w:t>Russia</w:t>
      </w:r>
      <w:r>
        <w:t xml:space="preserve"> (</w:t>
      </w:r>
      <w:r>
        <w:t>22.0%</w:t>
      </w:r>
      <w:r>
        <w:t xml:space="preserve">) and the </w:t>
      </w:r>
      <w:r>
        <w:t>United States</w:t>
      </w:r>
      <w:r>
        <w:t xml:space="preserve"> (</w:t>
      </w:r>
      <w:r>
        <w:t>21.2%</w:t>
      </w:r>
      <w:r>
        <w:t xml:space="preserve">). For </w:t>
      </w:r>
      <w:r>
        <w:t>upstream oil</w:t>
      </w:r>
      <w:r>
        <w:t xml:space="preserve">, imports worth </w:t>
      </w:r>
      <w:r>
        <w:t>USD 45.7 bn</w:t>
      </w:r>
      <w:r>
        <w:t xml:space="preserve"> came from the </w:t>
      </w:r>
      <w:r>
        <w:t>United States</w:t>
      </w:r>
      <w:r>
        <w:t xml:space="preserve"> (</w:t>
      </w:r>
      <w:r>
        <w:t>16.4%</w:t>
      </w:r>
      <w:r>
        <w:t xml:space="preserve">), </w:t>
      </w:r>
      <w:r>
        <w:t>Nigeria</w:t>
      </w:r>
      <w:r>
        <w:t xml:space="preserve"> (</w:t>
      </w:r>
      <w:r>
        <w:t>10.6%</w:t>
      </w:r>
      <w:r>
        <w:t xml:space="preserve">), </w:t>
      </w:r>
      <w:r>
        <w:t>Brazil</w:t>
      </w:r>
      <w:r>
        <w:t xml:space="preserve"> (</w:t>
      </w:r>
      <w:r>
        <w:t>10.2%</w:t>
      </w:r>
      <w:r>
        <w:t>) and others.</w:t>
      </w:r>
      <w:r>
        <w:rPr>
          <w:color w:val="4B5563"/>
          <w:vertAlign w:val="superscript"/>
        </w:rPr>
        <w:t>2</w:t>
      </w:r>
    </w:p>
    <w:p>
      <w:r>
        <w:t xml:space="preserve">In </w:t>
      </w:r>
      <w:r>
        <w:t>downstream coal</w:t>
      </w:r>
      <w:r>
        <w:t xml:space="preserve">, energy access pulls the score down. Coal consumption was </w:t>
      </w:r>
      <w:r>
        <w:t>1.81 GJ per person</w:t>
      </w:r>
      <w:r>
        <w:t xml:space="preserve"> in </w:t>
      </w:r>
      <w:r>
        <w:t>2025</w:t>
      </w:r>
      <w:r>
        <w:t xml:space="preserve">, and consumption per person changed by </w:t>
      </w:r>
      <w:r>
        <w:t>-30.2%</w:t>
      </w:r>
      <w:r>
        <w:t xml:space="preserve"> over the years to </w:t>
      </w:r>
      <w:r>
        <w:t>2025</w:t>
      </w:r>
      <w:r>
        <w:t>.</w:t>
      </w:r>
      <w:r>
        <w:rPr>
          <w:color w:val="4B5563"/>
          <w:vertAlign w:val="superscript"/>
        </w:rPr>
        <w:t>3</w:t>
      </w:r>
    </w:p>
    <w:p>
      <w:pPr>
        <w:pStyle w:val="Heading1"/>
      </w:pPr>
      <w:r>
        <w:t>2. Economic opportunities and why</w:t>
      </w:r>
    </w:p>
    <w:p>
      <w:r>
        <w:t>27</w:t>
      </w:r>
      <w:r>
        <w:t xml:space="preserve"> of the </w:t>
      </w:r>
      <w:r>
        <w:t>30</w:t>
      </w:r>
      <w:r>
        <w:t xml:space="preserve"> placed sectors sit in the two high-opportunity corners, where Economic Opportunity is above the sector's middle economy. Economic Opportunity measures how well placed a country is to create value in a sector. The highest Economic Opportunity scores are in </w:t>
      </w:r>
      <w:r>
        <w:t>midstream electric vehicles</w:t>
      </w:r>
      <w:r>
        <w:t xml:space="preserve">, </w:t>
      </w:r>
      <w:r>
        <w:t>downstream solar</w:t>
      </w:r>
      <w:r>
        <w:t xml:space="preserve"> and </w:t>
      </w:r>
      <w:r>
        <w:t>upstream solar</w:t>
      </w:r>
      <w:r>
        <w:t xml:space="preserve">, all in the </w:t>
      </w:r>
      <w:r>
        <w:t>Grow</w:t>
      </w:r>
      <w:r>
        <w:t xml:space="preserve"> corner. They are higher than </w:t>
      </w:r>
      <w:r>
        <w:t>99%</w:t>
      </w:r>
      <w:r>
        <w:t xml:space="preserve">, </w:t>
      </w:r>
      <w:r>
        <w:t>95%</w:t>
      </w:r>
      <w:r>
        <w:t xml:space="preserve"> and </w:t>
      </w:r>
      <w:r>
        <w:t>95%</w:t>
      </w:r>
      <w:r>
        <w:t xml:space="preserve"> of the other </w:t>
      </w:r>
      <w:r>
        <w:t>96</w:t>
      </w:r>
      <w:r>
        <w:t xml:space="preserve">, </w:t>
      </w:r>
      <w:r>
        <w:t>147</w:t>
      </w:r>
      <w:r>
        <w:t xml:space="preserve"> and </w:t>
      </w:r>
      <w:r>
        <w:t>92</w:t>
      </w:r>
      <w:r>
        <w:t xml:space="preserve"> economies scored. The paper's framework associates the Grow corner with export promotion.</w:t>
      </w:r>
      <w:r>
        <w:rPr>
          <w:color w:val="4B5563"/>
          <w:vertAlign w:val="superscript"/>
        </w:rPr>
        <w:t>1</w:t>
      </w:r>
    </w:p>
    <w:p>
      <w:r>
        <w:t xml:space="preserve">In </w:t>
      </w:r>
      <w:r>
        <w:t>midstream electric vehicles</w:t>
      </w:r>
      <w:r>
        <w:t xml:space="preserve">, investment and foreign dependency push the score up. On growth in investment </w:t>
      </w:r>
      <w:r>
        <w:t>Spain</w:t>
      </w:r>
      <w:r>
        <w:t xml:space="preserve"> scores higher than </w:t>
      </w:r>
      <w:r>
        <w:t>100%</w:t>
      </w:r>
      <w:r>
        <w:t xml:space="preserve"> of the other economies, and on annual investment higher than </w:t>
      </w:r>
      <w:r>
        <w:t>97%</w:t>
      </w:r>
      <w:r>
        <w:t xml:space="preserve">. For foreign dependency the index uses </w:t>
      </w:r>
      <w:r>
        <w:t>the EU's figure, carried by each EU member</w:t>
      </w:r>
      <w:r>
        <w:t xml:space="preserve">, not </w:t>
      </w:r>
      <w:r>
        <w:t>Spain</w:t>
      </w:r>
      <w:r>
        <w:t xml:space="preserve">'s own: electric-vehicle production of </w:t>
      </w:r>
      <w:r>
        <w:t>2.37 million vehicles</w:t>
      </w:r>
      <w:r>
        <w:t xml:space="preserve"> in </w:t>
      </w:r>
      <w:r>
        <w:t>2024</w:t>
      </w:r>
      <w:r>
        <w:t xml:space="preserve">, </w:t>
      </w:r>
      <w:r>
        <w:t>13.7%</w:t>
      </w:r>
      <w:r>
        <w:t xml:space="preserve"> of the world's.</w:t>
      </w:r>
      <w:r>
        <w:rPr>
          <w:color w:val="4B5563"/>
          <w:vertAlign w:val="superscript"/>
        </w:rPr>
        <w:t>1,5</w:t>
      </w:r>
    </w:p>
    <w:p>
      <w:r>
        <w:t xml:space="preserve">In </w:t>
      </w:r>
      <w:r>
        <w:t>downstream solar</w:t>
      </w:r>
      <w:r>
        <w:t xml:space="preserve">, production pushes the score up: solar generation was </w:t>
      </w:r>
      <w:r>
        <w:t>64.5 TWh</w:t>
      </w:r>
      <w:r>
        <w:t xml:space="preserve"> in </w:t>
      </w:r>
      <w:r>
        <w:t>2025</w:t>
      </w:r>
      <w:r>
        <w:t xml:space="preserve">. In </w:t>
      </w:r>
      <w:r>
        <w:t>upstream solar</w:t>
      </w:r>
      <w:r>
        <w:t xml:space="preserve">, trade does: on export feasibility, which reads how related its existing exports are to these goods, </w:t>
      </w:r>
      <w:r>
        <w:t>Spain</w:t>
      </w:r>
      <w:r>
        <w:t xml:space="preserve"> scores </w:t>
      </w:r>
      <w:r>
        <w:t>0.45</w:t>
      </w:r>
      <w:r>
        <w:t xml:space="preserve">, higher than </w:t>
      </w:r>
      <w:r>
        <w:t>98%</w:t>
      </w:r>
      <w:r>
        <w:t xml:space="preserve"> of the other economies.</w:t>
      </w:r>
      <w:r>
        <w:rPr>
          <w:color w:val="4B5563"/>
          <w:vertAlign w:val="superscript"/>
        </w:rPr>
        <w:t>1,3,6</w:t>
      </w:r>
    </w:p>
    <w:p>
      <w:r>
        <w:t xml:space="preserve">For context, </w:t>
      </w:r>
      <w:r>
        <w:t>France</w:t>
      </w:r>
      <w:r>
        <w:t xml:space="preserve"> took </w:t>
      </w:r>
      <w:r>
        <w:t>23.5%</w:t>
      </w:r>
      <w:r>
        <w:t xml:space="preserve"> of </w:t>
      </w:r>
      <w:r>
        <w:t>Spain</w:t>
      </w:r>
      <w:r>
        <w:t xml:space="preserve">'s </w:t>
      </w:r>
      <w:r>
        <w:t>midstream electric vehicles</w:t>
      </w:r>
      <w:r>
        <w:t xml:space="preserve"> exports of </w:t>
      </w:r>
      <w:r>
        <w:t>USD 22.6 bn</w:t>
      </w:r>
      <w:r>
        <w:t xml:space="preserve"> in </w:t>
      </w:r>
      <w:r>
        <w:t>2024</w:t>
      </w:r>
      <w:r>
        <w:t xml:space="preserve">, </w:t>
      </w:r>
      <w:r>
        <w:t>Germany</w:t>
      </w:r>
      <w:r>
        <w:t xml:space="preserve"> </w:t>
      </w:r>
      <w:r>
        <w:t>11.7%</w:t>
      </w:r>
      <w:r>
        <w:t xml:space="preserve"> and the </w:t>
      </w:r>
      <w:r>
        <w:t>United Kingdom</w:t>
      </w:r>
      <w:r>
        <w:t xml:space="preserve"> </w:t>
      </w:r>
      <w:r>
        <w:t>11.6%</w:t>
      </w:r>
      <w:r>
        <w:t>.</w:t>
      </w:r>
      <w:r>
        <w:rPr>
          <w:color w:val="4B5563"/>
          <w:vertAlign w:val="superscript"/>
        </w:rPr>
        <w:t>2</w:t>
      </w:r>
    </w:p>
    <w:p>
      <w:pPr>
        <w:pStyle w:val="Heading1"/>
      </w:pPr>
      <w:r>
        <w:t>3. Sectoral priorities and the existing policy posture</w:t>
      </w:r>
    </w:p>
    <w:p>
      <w:r>
        <w:t xml:space="preserve">The Strategic Index ranks a country's own sectors by combining opportunity, security need, policy activity, the stage and the technology's low-emission value. On the paper's weighting, it puts </w:t>
      </w:r>
      <w:r>
        <w:t>midstream batteries</w:t>
      </w:r>
      <w:r>
        <w:t xml:space="preserve"> </w:t>
      </w:r>
      <w:r>
        <w:t>1st</w:t>
      </w:r>
      <w:r>
        <w:t xml:space="preserve"> (</w:t>
      </w:r>
      <w:r>
        <w:t>0.64</w:t>
      </w:r>
      <w:r>
        <w:t xml:space="preserve">), </w:t>
      </w:r>
      <w:r>
        <w:t>downstream solar</w:t>
      </w:r>
      <w:r>
        <w:t xml:space="preserve"> </w:t>
      </w:r>
      <w:r>
        <w:t>2nd</w:t>
      </w:r>
      <w:r>
        <w:t xml:space="preserve">, </w:t>
      </w:r>
      <w:r>
        <w:t>upstream batteries</w:t>
      </w:r>
      <w:r>
        <w:t xml:space="preserve"> </w:t>
      </w:r>
      <w:r>
        <w:t>3rd</w:t>
      </w:r>
      <w:r>
        <w:t xml:space="preserve">, </w:t>
      </w:r>
      <w:r>
        <w:t>upstream wind</w:t>
      </w:r>
      <w:r>
        <w:t xml:space="preserve"> </w:t>
      </w:r>
      <w:r>
        <w:t>4th</w:t>
      </w:r>
      <w:r>
        <w:t xml:space="preserve"> and </w:t>
      </w:r>
      <w:r>
        <w:t>upstream solar</w:t>
      </w:r>
      <w:r>
        <w:t xml:space="preserve"> </w:t>
      </w:r>
      <w:r>
        <w:t>5th</w:t>
      </w:r>
      <w:r>
        <w:t xml:space="preserve"> among </w:t>
      </w:r>
      <w:r>
        <w:t>Spain</w:t>
      </w:r>
      <w:r>
        <w:t xml:space="preserve">'s own sectors, all in the </w:t>
      </w:r>
      <w:r>
        <w:t>Grow</w:t>
      </w:r>
      <w:r>
        <w:t xml:space="preserve"> corner. They are almost tied, with gaps of </w:t>
      </w:r>
      <w:r>
        <w:t>0.000</w:t>
      </w:r>
      <w:r>
        <w:t xml:space="preserve">, </w:t>
      </w:r>
      <w:r>
        <w:t>0.001</w:t>
      </w:r>
      <w:r>
        <w:t xml:space="preserve">, </w:t>
      </w:r>
      <w:r>
        <w:t>0.002</w:t>
      </w:r>
      <w:r>
        <w:t xml:space="preserve">, </w:t>
      </w:r>
      <w:r>
        <w:t>0.003</w:t>
      </w:r>
      <w:r>
        <w:t xml:space="preserve"> and </w:t>
      </w:r>
      <w:r>
        <w:t>0.009</w:t>
      </w:r>
      <w:r>
        <w:t xml:space="preserve"> to the next sector.</w:t>
      </w:r>
      <w:r>
        <w:rPr>
          <w:color w:val="4B5563"/>
          <w:vertAlign w:val="superscript"/>
        </w:rPr>
        <w:t>1</w:t>
      </w:r>
    </w:p>
    <w:p>
      <w:r>
        <w:t xml:space="preserve">The allied pick, its leading upstream or midstream sector once sectors without a recorded resource base are set aside, is </w:t>
      </w:r>
      <w:r>
        <w:t>midstream batteries</w:t>
      </w:r>
      <w:r>
        <w:t xml:space="preserve">, </w:t>
      </w:r>
      <w:r>
        <w:t>0.020</w:t>
      </w:r>
      <w:r>
        <w:t xml:space="preserve"> ahead of </w:t>
      </w:r>
      <w:r>
        <w:t>upstream nuclear</w:t>
      </w:r>
      <w:r>
        <w:t xml:space="preserve">. The runner-up comes from further down because </w:t>
      </w:r>
      <w:r>
        <w:t>upstream batteries</w:t>
      </w:r>
      <w:r>
        <w:t xml:space="preserve">, </w:t>
      </w:r>
      <w:r>
        <w:t>upstream wind</w:t>
      </w:r>
      <w:r>
        <w:t xml:space="preserve">, </w:t>
      </w:r>
      <w:r>
        <w:t>upstream solar</w:t>
      </w:r>
      <w:r>
        <w:t xml:space="preserve"> and </w:t>
      </w:r>
      <w:r>
        <w:t>upstream electric grid</w:t>
      </w:r>
      <w:r>
        <w:t xml:space="preserve"> are screened out: no resource base is recorded for them.</w:t>
      </w:r>
      <w:r>
        <w:rPr>
          <w:color w:val="4B5563"/>
          <w:vertAlign w:val="superscript"/>
        </w:rPr>
        <w:t>7</w:t>
      </w:r>
    </w:p>
    <w:p>
      <w:r>
        <w:t xml:space="preserve">Policy activity counts International Energy Agency Policies and Measures records and the Climate Action Tracker rating, read against each technology. Priority here means the Strategic Index without its policy term. The sector with top priority and the most policy is </w:t>
      </w:r>
      <w:r>
        <w:t>midstream batteries</w:t>
      </w:r>
      <w:r>
        <w:t xml:space="preserve">, while </w:t>
      </w:r>
      <w:r>
        <w:t>upstream electric vehicles</w:t>
      </w:r>
      <w:r>
        <w:t xml:space="preserve"> combines top priority with the least policy. The reverse holds for </w:t>
      </w:r>
      <w:r>
        <w:t>downstream green hydrogen and downstream electric vehicles</w:t>
      </w:r>
      <w:r>
        <w:t xml:space="preserve">, which combine bottom priority with the most policy. </w:t>
      </w:r>
      <w:r>
        <w:t>Spain</w:t>
      </w:r>
      <w:r>
        <w:t xml:space="preserve"> carries the European Union's Climate Action Tracker rating, </w:t>
      </w:r>
      <w:r>
        <w:t>Insufficient</w:t>
      </w:r>
      <w:r>
        <w:t xml:space="preserve"> (</w:t>
      </w:r>
      <w:r>
        <w:t>November 2024</w:t>
      </w:r>
      <w:r>
        <w:t xml:space="preserve">), and has </w:t>
      </w:r>
      <w:r>
        <w:t>362</w:t>
      </w:r>
      <w:r>
        <w:t xml:space="preserve"> Policies and Measures records, </w:t>
      </w:r>
      <w:r>
        <w:t>200</w:t>
      </w:r>
      <w:r>
        <w:t xml:space="preserve"> of which name a technology. For context, Country Insights also lists industrial-policy measures recorded by Global Trade Alert, some of them EU-wide; policy activity does not count them.</w:t>
      </w:r>
      <w:r>
        <w:rPr>
          <w:color w:val="4B5563"/>
          <w:vertAlign w:val="superscript"/>
        </w:rPr>
        <w:t>1,8,9</w:t>
      </w:r>
    </w:p>
    <w:p>
      <w:pPr>
        <w:pStyle w:val="Heading1"/>
      </w:pPr>
      <w:r>
        <w:t>4. Partnership priorities and why</w:t>
      </w:r>
    </w:p>
    <w:p>
      <w:r>
        <w:t xml:space="preserve">The Partnership Strength Index rates partners as suppliers (Friendshore), as markets for exports (Partnership Opportunity) and, for middle- and lower-income partners, by Development Potential. From </w:t>
      </w:r>
      <w:r>
        <w:t>Spain</w:t>
      </w:r>
      <w:r>
        <w:t xml:space="preserve">'s viewpoint it ranks </w:t>
      </w:r>
      <w:r>
        <w:t>Portugal</w:t>
      </w:r>
      <w:r>
        <w:t xml:space="preserve"> </w:t>
      </w:r>
      <w:r>
        <w:t>1st</w:t>
      </w:r>
      <w:r>
        <w:t xml:space="preserve">, </w:t>
      </w:r>
      <w:r>
        <w:t>France</w:t>
      </w:r>
      <w:r>
        <w:t xml:space="preserve"> </w:t>
      </w:r>
      <w:r>
        <w:t>2nd</w:t>
      </w:r>
      <w:r>
        <w:t xml:space="preserve">, the </w:t>
      </w:r>
      <w:r>
        <w:t>Netherlands</w:t>
      </w:r>
      <w:r>
        <w:t xml:space="preserve"> </w:t>
      </w:r>
      <w:r>
        <w:t>3rd</w:t>
      </w:r>
      <w:r>
        <w:t xml:space="preserve">, the </w:t>
      </w:r>
      <w:r>
        <w:t>United States</w:t>
      </w:r>
      <w:r>
        <w:t xml:space="preserve"> </w:t>
      </w:r>
      <w:r>
        <w:t>4th</w:t>
      </w:r>
      <w:r>
        <w:t xml:space="preserve"> and </w:t>
      </w:r>
      <w:r>
        <w:t>Italy</w:t>
      </w:r>
      <w:r>
        <w:t xml:space="preserve"> </w:t>
      </w:r>
      <w:r>
        <w:t>5th</w:t>
      </w:r>
      <w:r>
        <w:t xml:space="preserve"> of </w:t>
      </w:r>
      <w:r>
        <w:t>191</w:t>
      </w:r>
      <w:r>
        <w:t xml:space="preserve"> partners. </w:t>
      </w:r>
      <w:r>
        <w:t>Portugal</w:t>
      </w:r>
      <w:r>
        <w:t xml:space="preserve">, </w:t>
      </w:r>
      <w:r>
        <w:t>France</w:t>
      </w:r>
      <w:r>
        <w:t xml:space="preserve"> and the </w:t>
      </w:r>
      <w:r>
        <w:t>United States</w:t>
      </w:r>
      <w:r>
        <w:t xml:space="preserve"> stand out most as a </w:t>
      </w:r>
      <w:r>
        <w:t>reliable supplier</w:t>
      </w:r>
      <w:r>
        <w:t xml:space="preserve">, the </w:t>
      </w:r>
      <w:r>
        <w:t>Netherlands</w:t>
      </w:r>
      <w:r>
        <w:t xml:space="preserve"> and </w:t>
      </w:r>
      <w:r>
        <w:t>Italy</w:t>
      </w:r>
      <w:r>
        <w:t xml:space="preserve"> as an </w:t>
      </w:r>
      <w:r>
        <w:t>export market</w:t>
      </w:r>
      <w:r>
        <w:t xml:space="preserve">. As a supplier, the </w:t>
      </w:r>
      <w:r>
        <w:t>United States</w:t>
      </w:r>
      <w:r>
        <w:t xml:space="preserve"> scores best in </w:t>
      </w:r>
      <w:r>
        <w:t>upstream gas, upstream oil, downstream gas, midstream wind and downstream geothermal</w:t>
      </w:r>
      <w:r>
        <w:t xml:space="preserve">. As a market, the </w:t>
      </w:r>
      <w:r>
        <w:t>Netherlands</w:t>
      </w:r>
      <w:r>
        <w:t xml:space="preserve"> scores best in </w:t>
      </w:r>
      <w:r>
        <w:t>upstream solar, upstream nuclear, upstream wind, upstream batteries and upstream electric vehicles</w:t>
      </w:r>
      <w:r>
        <w:t>.</w:t>
      </w:r>
      <w:r>
        <w:rPr>
          <w:color w:val="4B5563"/>
          <w:vertAlign w:val="superscript"/>
        </w:rPr>
        <w:t>1</w:t>
      </w:r>
    </w:p>
    <w:p>
      <w:r>
        <w:t xml:space="preserve">These priorities largely match today's ties. </w:t>
      </w:r>
      <w:r>
        <w:t>France</w:t>
      </w:r>
      <w:r>
        <w:t xml:space="preserve"> is also </w:t>
      </w:r>
      <w:r>
        <w:t>Spain</w:t>
      </w:r>
      <w:r>
        <w:t xml:space="preserve">'s </w:t>
      </w:r>
      <w:r>
        <w:t>2nd</w:t>
      </w:r>
      <w:r>
        <w:t xml:space="preserve"> trade partner on average across its energy-goods baskets, the </w:t>
      </w:r>
      <w:r>
        <w:t>Netherlands</w:t>
      </w:r>
      <w:r>
        <w:t xml:space="preserve"> its </w:t>
      </w:r>
      <w:r>
        <w:t>5th</w:t>
      </w:r>
      <w:r>
        <w:t xml:space="preserve">, </w:t>
      </w:r>
      <w:r>
        <w:t>Italy</w:t>
      </w:r>
      <w:r>
        <w:t xml:space="preserve"> its </w:t>
      </w:r>
      <w:r>
        <w:t>6th</w:t>
      </w:r>
      <w:r>
        <w:t xml:space="preserve">, the </w:t>
      </w:r>
      <w:r>
        <w:t>United States</w:t>
      </w:r>
      <w:r>
        <w:t xml:space="preserve"> its </w:t>
      </w:r>
      <w:r>
        <w:t>7th</w:t>
      </w:r>
      <w:r>
        <w:t xml:space="preserve"> and </w:t>
      </w:r>
      <w:r>
        <w:t>Portugal</w:t>
      </w:r>
      <w:r>
        <w:t xml:space="preserve"> its </w:t>
      </w:r>
      <w:r>
        <w:t>9th</w:t>
      </w:r>
      <w:r>
        <w:t xml:space="preserve">. Each is </w:t>
      </w:r>
      <w:r>
        <w:t>a priority partner with strong ties today</w:t>
      </w:r>
      <w:r>
        <w:t xml:space="preserve">, and UN votes put each in the </w:t>
      </w:r>
      <w:r>
        <w:t>same bloc</w:t>
      </w:r>
      <w:r>
        <w:t xml:space="preserve"> as </w:t>
      </w:r>
      <w:r>
        <w:t>Spain</w:t>
      </w:r>
      <w:r>
        <w:t xml:space="preserve">. By contrast, </w:t>
      </w:r>
      <w:r>
        <w:t>China</w:t>
      </w:r>
      <w:r>
        <w:t xml:space="preserve"> is </w:t>
      </w:r>
      <w:r>
        <w:t>Spain</w:t>
      </w:r>
      <w:r>
        <w:t xml:space="preserve">'s </w:t>
      </w:r>
      <w:r>
        <w:t>1st</w:t>
      </w:r>
      <w:r>
        <w:t xml:space="preserve"> trade partner, with </w:t>
      </w:r>
      <w:r>
        <w:t>12.2%</w:t>
      </w:r>
      <w:r>
        <w:t xml:space="preserve"> of its imports on average, but ranks </w:t>
      </w:r>
      <w:r>
        <w:t>45th</w:t>
      </w:r>
      <w:r>
        <w:t xml:space="preserve"> on Partnership Strength, where it stands out most as a </w:t>
      </w:r>
      <w:r>
        <w:t>development partner</w:t>
      </w:r>
      <w:r>
        <w:t xml:space="preserve">. UN votes put </w:t>
      </w:r>
      <w:r>
        <w:t>Spain</w:t>
      </w:r>
      <w:r>
        <w:t xml:space="preserve"> and </w:t>
      </w:r>
      <w:r>
        <w:t>China</w:t>
      </w:r>
      <w:r>
        <w:t xml:space="preserve"> in </w:t>
      </w:r>
      <w:r>
        <w:t>opposite blocs</w:t>
      </w:r>
      <w:r>
        <w:t>.</w:t>
      </w:r>
      <w:r>
        <w:rPr>
          <w:color w:val="4B5563"/>
          <w:vertAlign w:val="superscript"/>
        </w:rPr>
        <w:t>1,2,10</w:t>
      </w:r>
    </w:p>
    <w:p>
      <w:r>
        <w:t xml:space="preserve">As a partner to the coalition, </w:t>
      </w:r>
      <w:r>
        <w:t>Spain</w:t>
      </w:r>
      <w:r>
        <w:t xml:space="preserve"> ranks </w:t>
      </w:r>
      <w:r>
        <w:t>7th</w:t>
      </w:r>
      <w:r>
        <w:t xml:space="preserve"> of </w:t>
      </w:r>
      <w:r>
        <w:t>192</w:t>
      </w:r>
      <w:r>
        <w:t xml:space="preserve"> economies, on Partnership Strength averaged over the core members' viewpoints. In the allied network design, which spreads upstream and midstream production across coalition members, its largest designed share is </w:t>
      </w:r>
      <w:r>
        <w:t>1.9%</w:t>
      </w:r>
      <w:r>
        <w:t xml:space="preserve"> of </w:t>
      </w:r>
      <w:r>
        <w:t>midstream green hydrogen</w:t>
      </w:r>
      <w:r>
        <w:t>.</w:t>
      </w:r>
      <w:r>
        <w:rPr>
          <w:color w:val="4B5563"/>
          <w:vertAlign w:val="superscript"/>
        </w:rPr>
        <w:t>1,7</w:t>
      </w:r>
    </w:p>
    <w:p>
      <w:pPr>
        <w:pStyle w:val="Heading1"/>
      </w:pPr>
      <w:r>
        <w:t>5. Data notes and caveats</w:t>
      </w:r>
    </w:p>
    <w:p>
      <w:r>
        <w:t xml:space="preserve">Baseline of </w:t>
      </w:r>
      <w:r>
        <w:t>12 October 2026</w:t>
      </w:r>
      <w:r>
        <w:t>; details in Country Insights.</w:t>
      </w:r>
    </w:p>
    <w:p>
      <w:pPr>
        <w:pStyle w:val="ListBullet"/>
      </w:pPr>
      <w:r>
        <w:t>Scores compare Spain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Strategic Index scores within 0.01 of each other are almost tied: small changes in the data or the weights can swap their order.</w:t>
      </w:r>
    </w:p>
    <w:p>
      <w:pPr>
        <w:pStyle w:val="ListBullet"/>
      </w:pPr>
      <w:r>
        <w:t>Many allied picks are close calls: in the paper, 37% of them are within 0.01 of the runner-up.</w:t>
      </w:r>
    </w:p>
    <w:p>
      <w:pPr>
        <w:pStyle w:val="ListBullet"/>
      </w:pPr>
      <w:r>
        <w:t>In the allied network design the European Union is one producer; Spain's shares are derived from its weight within the EU.</w:t>
      </w:r>
    </w:p>
    <w:p>
      <w:pPr>
        <w:pStyle w:val="ListBullet"/>
      </w:pPr>
      <w:r>
        <w:t>The Climate Action Tracker rates the EU as a whole; Spain carries the EU's rating.</w:t>
      </w:r>
    </w:p>
    <w:p>
      <w:pPr>
        <w:pStyle w:val="ListBullet"/>
      </w:pPr>
      <w:r>
        <w:t>Spain's counts leave out the EU's own 438 International Energy Agency policy records.</w:t>
      </w:r>
    </w:p>
    <w:p>
      <w:pPr>
        <w:pStyle w:val="ListBullet"/>
      </w:pPr>
      <w:r>
        <w:t>Trade figures count trade with other EU members.</w:t>
      </w:r>
    </w:p>
    <w:p>
      <w:pPr>
        <w:pStyle w:val="ListBullet"/>
      </w:pPr>
      <w:r>
        <w:t>Each EU member carries the EU's announced 2035 manufacturing-capacity shares and electric-vehicle figures.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International Energy Agency, Global EV Outlook: electric-vehicle production and sales by region, 2021-2024 (2025); attribution; https://www.iea.org/reports/global-ev-outlook-2025.</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Spain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ESP</cp:keywords>
  <dc:description>paper baseline as of 12 October 2026; fact sheet sha256 effc176f1837c21cd78db43ae458e02dcbcf9f983108e4ccec4b1cce9cfa678c</dc:description>
  <cp:lastModifiedBy/>
  <cp:revision>1</cp:revision>
  <dcterms:created xsi:type="dcterms:W3CDTF">2013-12-23T23:15:00Z</dcterms:created>
  <dcterms:modified xsi:type="dcterms:W3CDTF">2013-12-23T23:15:00Z</dcterms:modified>
  <cp:category/>
</cp:coreProperties>
</file>