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Finland: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Finland</w:t>
            </w:r>
            <w:r>
              <w:t xml:space="preserve">'s lowest Energy Security percentiles are in </w:t>
            </w:r>
            <w:r>
              <w:t>downstream gas</w:t>
            </w:r>
            <w:r>
              <w:t xml:space="preserve"> and </w:t>
            </w:r>
            <w:r>
              <w:t>downstream oil</w:t>
            </w:r>
            <w:r>
              <w:t xml:space="preserve">, where it scores higher than only </w:t>
            </w:r>
            <w:r>
              <w:t>0%</w:t>
            </w:r>
            <w:r>
              <w:t xml:space="preserve"> and </w:t>
            </w:r>
            <w:r>
              <w:t>14%</w:t>
            </w:r>
            <w:r>
              <w:t xml:space="preserve"> of the other economies scored. Falling use per person pulls both scores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highest Economic Opportunity percentiles are in </w:t>
            </w:r>
            <w:r>
              <w:t>downstream wind</w:t>
            </w:r>
            <w:r>
              <w:t xml:space="preserve">, </w:t>
            </w:r>
            <w:r>
              <w:t>midstream coal</w:t>
            </w:r>
            <w:r>
              <w:t xml:space="preserve"> and </w:t>
            </w:r>
            <w:r>
              <w:t>midstream nuclear</w:t>
            </w:r>
            <w:r>
              <w:t xml:space="preserve">, higher than </w:t>
            </w:r>
            <w:r>
              <w:t>97%</w:t>
            </w:r>
            <w:r>
              <w:t xml:space="preserve">, </w:t>
            </w:r>
            <w:r>
              <w:t>96%</w:t>
            </w:r>
            <w:r>
              <w:t xml:space="preserve"> and </w:t>
            </w:r>
            <w:r>
              <w:t>95%</w:t>
            </w:r>
            <w:r>
              <w:t xml:space="preserve"> of the other economies scored. Wind power production and use, and strong exports, push them up.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ranks </w:t>
            </w:r>
            <w:r>
              <w:t>upstream nuclear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Finland</w:t>
            </w:r>
            <w:r>
              <w:t xml:space="preserve">'s own sectors, almost tied with </w:t>
            </w:r>
            <w:r>
              <w:t>downstream batteries</w:t>
            </w:r>
            <w:r>
              <w:t xml:space="preserve">. Policy activity ranks the former only </w:t>
            </w:r>
            <w:r>
              <w:t>13th</w:t>
            </w:r>
            <w:r>
              <w:t xml:space="preserve"> and the latter </w:t>
            </w:r>
            <w:r>
              <w:t>1st</w:t>
            </w:r>
            <w:r>
              <w:t>.</w:t>
            </w:r>
            <w:r>
              <w:rPr>
                <w:color w:val="4B5563"/>
                <w:vertAlign w:val="superscript"/>
              </w:rPr>
              <w:t>1,2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Sweden</w:t>
            </w:r>
            <w:r>
              <w:t xml:space="preserve"> highest for </w:t>
            </w:r>
            <w:r>
              <w:t>Finland</w:t>
            </w:r>
            <w:r>
              <w:t xml:space="preserve">, as a </w:t>
            </w:r>
            <w:r>
              <w:t>reliable supplier</w:t>
            </w:r>
            <w:r>
              <w:t xml:space="preserve">; it is also its </w:t>
            </w:r>
            <w:r>
              <w:t>1st</w:t>
            </w:r>
            <w:r>
              <w:t xml:space="preserve"> trade partner. </w:t>
            </w:r>
            <w:r>
              <w:t>China</w:t>
            </w:r>
            <w:r>
              <w:t xml:space="preserve">, its </w:t>
            </w:r>
            <w:r>
              <w:t>5th</w:t>
            </w:r>
            <w:r>
              <w:t xml:space="preserve"> trade partner, ranks only </w:t>
            </w:r>
            <w:r>
              <w:t>36th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1,3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9</w:t>
      </w:r>
      <w:r>
        <w:t xml:space="preserve"> of </w:t>
      </w:r>
      <w:r>
        <w:t>Finland</w:t>
      </w:r>
      <w:r>
        <w:t xml:space="preserve">'s </w:t>
      </w:r>
      <w:r>
        <w:t>29</w:t>
      </w:r>
      <w:r>
        <w:t xml:space="preserve"> placed sectors sit in the two low-energy-security corners, below the middle economy of their sector on Energy Security, which measures how well a country can rely on what it needs. Its lowest Energy Security percentiles are in </w:t>
      </w:r>
      <w:r>
        <w:t>downstream gas</w:t>
      </w:r>
      <w:r>
        <w:t xml:space="preserve"> (score </w:t>
      </w:r>
      <w:r>
        <w:t>0.29</w:t>
      </w:r>
      <w:r>
        <w:t xml:space="preserve">, </w:t>
      </w:r>
      <w:r>
        <w:t>Secure</w:t>
      </w:r>
      <w:r>
        <w:t xml:space="preserve"> corner) and </w:t>
      </w:r>
      <w:r>
        <w:t>downstream oil</w:t>
      </w:r>
      <w:r>
        <w:t xml:space="preserve"> (</w:t>
      </w:r>
      <w:r>
        <w:t>0.47</w:t>
      </w:r>
      <w:r>
        <w:t xml:space="preserve">, </w:t>
      </w:r>
      <w:r>
        <w:t>Secure</w:t>
      </w:r>
      <w:r>
        <w:t xml:space="preserve"> corner). There it scores higher than only </w:t>
      </w:r>
      <w:r>
        <w:t>0%</w:t>
      </w:r>
      <w:r>
        <w:t xml:space="preserve"> and </w:t>
      </w:r>
      <w:r>
        <w:t>14%</w:t>
      </w:r>
      <w:r>
        <w:t xml:space="preserve"> of the other </w:t>
      </w:r>
      <w:r>
        <w:t>98</w:t>
      </w:r>
      <w:r>
        <w:t xml:space="preserve"> economies scored. Both scores are pulled down mainly by the </w:t>
      </w:r>
      <w:r>
        <w:t>energy access</w:t>
      </w:r>
      <w:r>
        <w:t xml:space="preserve"> category, which measures use per person and its change. Over the years to </w:t>
      </w:r>
      <w:r>
        <w:t>2025</w:t>
      </w:r>
      <w:r>
        <w:t xml:space="preserve">, gas use per person changed by </w:t>
      </w:r>
      <w:r>
        <w:t>-46.7%</w:t>
      </w:r>
      <w:r>
        <w:t xml:space="preserve">, to </w:t>
      </w:r>
      <w:r>
        <w:t>7.17 GJ per person</w:t>
      </w:r>
      <w:r>
        <w:t xml:space="preserve">; oil use changed by </w:t>
      </w:r>
      <w:r>
        <w:t>-10.5%</w:t>
      </w:r>
      <w:r>
        <w:t xml:space="preserve">, to </w:t>
      </w:r>
      <w:r>
        <w:t>58.1 GJ per person</w:t>
      </w:r>
      <w:r>
        <w:t>.</w:t>
      </w:r>
      <w:r>
        <w:rPr>
          <w:color w:val="4B5563"/>
          <w:vertAlign w:val="superscript"/>
        </w:rPr>
        <w:t>1,4</w:t>
      </w:r>
    </w:p>
    <w:p>
      <w:r>
        <w:t xml:space="preserve">Next comes </w:t>
      </w:r>
      <w:r>
        <w:t>upstream coal</w:t>
      </w:r>
      <w:r>
        <w:t xml:space="preserve"> (</w:t>
      </w:r>
      <w:r>
        <w:t>0.26</w:t>
      </w:r>
      <w:r>
        <w:t xml:space="preserve">, </w:t>
      </w:r>
      <w:r>
        <w:t>Secure</w:t>
      </w:r>
      <w:r>
        <w:t xml:space="preserve"> corner), higher than </w:t>
      </w:r>
      <w:r>
        <w:t>18%</w:t>
      </w:r>
      <w:r>
        <w:t xml:space="preserve"> of the other economies scored. It is held down by the </w:t>
      </w:r>
      <w:r>
        <w:t>energy imports</w:t>
      </w:r>
      <w:r>
        <w:t xml:space="preserve"> category: production minus consumption was </w:t>
      </w:r>
      <w:r>
        <w:t>-0.0766 EJ</w:t>
      </w:r>
      <w:r>
        <w:t xml:space="preserve"> in </w:t>
      </w:r>
      <w:r>
        <w:t>2025</w:t>
      </w:r>
      <w:r>
        <w:t xml:space="preserve">. The figure takes </w:t>
      </w:r>
      <w:r>
        <w:t>production from the U.S. Energy Information Administration's international statistics, as the Energy Institute does not report it separately</w:t>
      </w:r>
      <w:r>
        <w:t xml:space="preserve">. For context, its largest suppliers of </w:t>
      </w:r>
      <w:r>
        <w:t>upstream coal</w:t>
      </w:r>
      <w:r>
        <w:t xml:space="preserve"> in </w:t>
      </w:r>
      <w:r>
        <w:t>2024</w:t>
      </w:r>
      <w:r>
        <w:t xml:space="preserve"> were the </w:t>
      </w:r>
      <w:r>
        <w:t>United States</w:t>
      </w:r>
      <w:r>
        <w:t xml:space="preserve"> (</w:t>
      </w:r>
      <w:r>
        <w:t>40.8%</w:t>
      </w:r>
      <w:r>
        <w:t xml:space="preserve"> of imports) and </w:t>
      </w:r>
      <w:r>
        <w:t>Australia</w:t>
      </w:r>
      <w:r>
        <w:t xml:space="preserve"> (</w:t>
      </w:r>
      <w:r>
        <w:t>30.5%</w:t>
      </w:r>
      <w:r>
        <w:t>).</w:t>
      </w:r>
      <w:r>
        <w:rPr>
          <w:color w:val="4B5563"/>
          <w:vertAlign w:val="superscript"/>
        </w:rPr>
        <w:t>1,3,4,5</w:t>
      </w:r>
    </w:p>
    <w:p>
      <w:r>
        <w:t xml:space="preserve">Its high-priority sectors, </w:t>
      </w:r>
      <w:r>
        <w:t>upstream electric grid, midstream wind and downstream solar</w:t>
      </w:r>
      <w:r>
        <w:t xml:space="preserve">, sit in the </w:t>
      </w:r>
      <w:r>
        <w:t>Upgrade</w:t>
      </w:r>
      <w:r>
        <w:t xml:space="preserve"> corner, which pairs high opportunity with low energy security. In </w:t>
      </w:r>
      <w:r>
        <w:t>midstream wind</w:t>
      </w:r>
      <w:r>
        <w:t xml:space="preserve"> its Energy Security, higher than only </w:t>
      </w:r>
      <w:r>
        <w:t>38%</w:t>
      </w:r>
      <w:r>
        <w:t xml:space="preserve"> of the other economies scored, is held down mainly by the </w:t>
      </w:r>
      <w:r>
        <w:t>trade</w:t>
      </w:r>
      <w:r>
        <w:t xml:space="preserve"> category. Its trade deficit in these goods was </w:t>
      </w:r>
      <w:r>
        <w:t>0.3% of GDP</w:t>
      </w:r>
      <w:r>
        <w:t xml:space="preserve"> in </w:t>
      </w:r>
      <w:r>
        <w:t>2023</w:t>
      </w:r>
      <w:r>
        <w:t xml:space="preserve">. For context, its largest suppliers there were </w:t>
      </w:r>
      <w:r>
        <w:t>China</w:t>
      </w:r>
      <w:r>
        <w:t xml:space="preserve"> (</w:t>
      </w:r>
      <w:r>
        <w:t>17.0%</w:t>
      </w:r>
      <w:r>
        <w:t xml:space="preserve">) and </w:t>
      </w:r>
      <w:r>
        <w:t>Germany</w:t>
      </w:r>
      <w:r>
        <w:t xml:space="preserve"> (</w:t>
      </w:r>
      <w:r>
        <w:t>14.5%</w:t>
      </w:r>
      <w:r>
        <w:t xml:space="preserve">). In </w:t>
      </w:r>
      <w:r>
        <w:t>downstream solar</w:t>
      </w:r>
      <w:r>
        <w:t xml:space="preserve"> the score is held down mainly by the </w:t>
      </w:r>
      <w:r>
        <w:t>reserves</w:t>
      </w:r>
      <w:r>
        <w:t xml:space="preserve"> category: on solar resource potential it scores higher than only </w:t>
      </w:r>
      <w:r>
        <w:t>8%</w:t>
      </w:r>
      <w:r>
        <w:t xml:space="preserve"> of the other economies.</w:t>
      </w:r>
      <w:r>
        <w:rPr>
          <w:color w:val="4B5563"/>
          <w:vertAlign w:val="superscript"/>
        </w:rPr>
        <w:t>1,3,6</w:t>
      </w:r>
    </w:p>
    <w:p>
      <w:pPr>
        <w:pStyle w:val="Heading1"/>
      </w:pPr>
      <w:r>
        <w:t>2. Economic opportunities and why</w:t>
      </w:r>
    </w:p>
    <w:p>
      <w:r>
        <w:t>24</w:t>
      </w:r>
      <w:r>
        <w:t xml:space="preserve"> of its </w:t>
      </w:r>
      <w:r>
        <w:t>29</w:t>
      </w:r>
      <w:r>
        <w:t xml:space="preserve"> placed sectors sit in the two high-opportunity corners, above the middle economy of their sector on Economic Opportunity, which measures how well placed a country is to create value. Its highest Economic Opportunity percentiles are in </w:t>
      </w:r>
      <w:r>
        <w:t>downstream wind</w:t>
      </w:r>
      <w:r>
        <w:t xml:space="preserve"> (</w:t>
      </w:r>
      <w:r>
        <w:t>0.58</w:t>
      </w:r>
      <w:r>
        <w:t xml:space="preserve">), </w:t>
      </w:r>
      <w:r>
        <w:t>midstream coal</w:t>
      </w:r>
      <w:r>
        <w:t xml:space="preserve"> (</w:t>
      </w:r>
      <w:r>
        <w:t>0.54</w:t>
      </w:r>
      <w:r>
        <w:t xml:space="preserve">) and </w:t>
      </w:r>
      <w:r>
        <w:t>midstream nuclear</w:t>
      </w:r>
      <w:r>
        <w:t xml:space="preserve"> (</w:t>
      </w:r>
      <w:r>
        <w:t>0.59</w:t>
      </w:r>
      <w:r>
        <w:t xml:space="preserve">). There it scores higher than </w:t>
      </w:r>
      <w:r>
        <w:t>97%</w:t>
      </w:r>
      <w:r>
        <w:t xml:space="preserve">, </w:t>
      </w:r>
      <w:r>
        <w:t>96%</w:t>
      </w:r>
      <w:r>
        <w:t xml:space="preserve"> and </w:t>
      </w:r>
      <w:r>
        <w:t>95%</w:t>
      </w:r>
      <w:r>
        <w:t xml:space="preserve"> of the other economies scored. Each sits in the </w:t>
      </w:r>
      <w:r>
        <w:t>Grow</w:t>
      </w:r>
      <w:r>
        <w:t xml:space="preserve"> corner, which the framework associates with building on strength through export promotion.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wind</w:t>
      </w:r>
      <w:r>
        <w:t xml:space="preserve"> the </w:t>
      </w:r>
      <w:r>
        <w:t>energy access</w:t>
      </w:r>
      <w:r>
        <w:t xml:space="preserve"> and </w:t>
      </w:r>
      <w:r>
        <w:t>production</w:t>
      </w:r>
      <w:r>
        <w:t xml:space="preserve"> categories push the score up. Wind power use per person rose by </w:t>
      </w:r>
      <w:r>
        <w:t>178.6%</w:t>
      </w:r>
      <w:r>
        <w:t xml:space="preserve"> over the years to </w:t>
      </w:r>
      <w:r>
        <w:t>2025</w:t>
      </w:r>
      <w:r>
        <w:t xml:space="preserve">, to </w:t>
      </w:r>
      <w:r>
        <w:t>15 GJ per person</w:t>
      </w:r>
      <w:r>
        <w:t xml:space="preserve">, and production reached </w:t>
      </w:r>
      <w:r>
        <w:t>23.4 TWh</w:t>
      </w:r>
      <w:r>
        <w:t xml:space="preserve">. In the midstream sectors, the </w:t>
      </w:r>
      <w:r>
        <w:t>trade</w:t>
      </w:r>
      <w:r>
        <w:t xml:space="preserve"> and </w:t>
      </w:r>
      <w:r>
        <w:t>cost competitiveness</w:t>
      </w:r>
      <w:r>
        <w:t xml:space="preserve"> categories push the scores up. Its revealed comparative advantage was </w:t>
      </w:r>
      <w:r>
        <w:t>3.29</w:t>
      </w:r>
      <w:r>
        <w:t xml:space="preserve"> in </w:t>
      </w:r>
      <w:r>
        <w:t>midstream coal</w:t>
      </w:r>
      <w:r>
        <w:t xml:space="preserve"> and </w:t>
      </w:r>
      <w:r>
        <w:t>3.07</w:t>
      </w:r>
      <w:r>
        <w:t xml:space="preserve"> in </w:t>
      </w:r>
      <w:r>
        <w:t>midstream nuclear</w:t>
      </w:r>
      <w:r>
        <w:t xml:space="preserve"> in </w:t>
      </w:r>
      <w:r>
        <w:t>2024</w:t>
      </w:r>
      <w:r>
        <w:t xml:space="preserve">. For context, its largest market for both baskets in </w:t>
      </w:r>
      <w:r>
        <w:t>2024</w:t>
      </w:r>
      <w:r>
        <w:t xml:space="preserve"> was </w:t>
      </w:r>
      <w:r>
        <w:t>Indonesia</w:t>
      </w:r>
      <w:r>
        <w:t xml:space="preserve"> (</w:t>
      </w:r>
      <w:r>
        <w:t>42.9%</w:t>
      </w:r>
      <w:r>
        <w:t xml:space="preserve"> and </w:t>
      </w:r>
      <w:r>
        <w:t>44.0%</w:t>
      </w:r>
      <w:r>
        <w:t>).</w:t>
      </w:r>
      <w:r>
        <w:rPr>
          <w:color w:val="4B5563"/>
          <w:vertAlign w:val="superscript"/>
        </w:rPr>
        <w:t>3,4,7</w:t>
      </w:r>
    </w:p>
    <w:p>
      <w:r>
        <w:t xml:space="preserve">In </w:t>
      </w:r>
      <w:r>
        <w:t>midstream wind</w:t>
      </w:r>
      <w:r>
        <w:t xml:space="preserve">, a high-priority sector, its Economic Opportunity is higher than </w:t>
      </w:r>
      <w:r>
        <w:t>80%</w:t>
      </w:r>
      <w:r>
        <w:t xml:space="preserve"> of the other economies scored. The </w:t>
      </w:r>
      <w:r>
        <w:t>foreign dependency</w:t>
      </w:r>
      <w:r>
        <w:t xml:space="preserve"> category pushes it up: </w:t>
      </w:r>
      <w:r>
        <w:t>Finland</w:t>
      </w:r>
      <w:r>
        <w:t xml:space="preserve"> carries the EU's announced share of world manufacturing capacity for </w:t>
      </w:r>
      <w:r>
        <w:t>2035</w:t>
      </w:r>
      <w:r>
        <w:t xml:space="preserve">, </w:t>
      </w:r>
      <w:r>
        <w:t>15.0%</w:t>
      </w:r>
      <w:r>
        <w:t>.</w:t>
      </w:r>
      <w:r>
        <w:rPr>
          <w:color w:val="4B5563"/>
          <w:vertAlign w:val="superscript"/>
        </w:rPr>
        <w:t>1,8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On the paper's weighting, it ranks </w:t>
      </w:r>
      <w:r>
        <w:t>upstream nuclear</w:t>
      </w:r>
      <w:r>
        <w:t xml:space="preserve"> </w:t>
      </w:r>
      <w:r>
        <w:t>1st</w:t>
      </w:r>
      <w:r>
        <w:t xml:space="preserve"> among </w:t>
      </w:r>
      <w:r>
        <w:t>Finland</w:t>
      </w:r>
      <w:r>
        <w:t xml:space="preserve">'s own sectors, at </w:t>
      </w:r>
      <w:r>
        <w:t>0.66</w:t>
      </w:r>
      <w:r>
        <w:t xml:space="preserve">. It is almost tied with </w:t>
      </w:r>
      <w:r>
        <w:t>downstream batteries</w:t>
      </w:r>
      <w:r>
        <w:t xml:space="preserve">, which trails it by only </w:t>
      </w:r>
      <w:r>
        <w:t>0.001</w:t>
      </w:r>
      <w:r>
        <w:t xml:space="preserve">. The security-need term, which rises as Energy Security falls, contributes </w:t>
      </w:r>
      <w:r>
        <w:t>0.246</w:t>
      </w:r>
      <w:r>
        <w:t xml:space="preserve">, more than any other part, while policy activity ranks it only </w:t>
      </w:r>
      <w:r>
        <w:t>13th</w:t>
      </w:r>
      <w:r>
        <w:t xml:space="preserve">. Next comes </w:t>
      </w:r>
      <w:r>
        <w:t>upstream batteries</w:t>
      </w:r>
      <w:r>
        <w:t xml:space="preserve"> (</w:t>
      </w:r>
      <w:r>
        <w:t>3rd</w:t>
      </w:r>
      <w:r>
        <w:t xml:space="preserve">), almost tied with </w:t>
      </w:r>
      <w:r>
        <w:t>downstream batteries</w:t>
      </w:r>
      <w:r>
        <w:t xml:space="preserve"> (</w:t>
      </w:r>
      <w:r>
        <w:t>0.009</w:t>
      </w:r>
      <w:r>
        <w:t xml:space="preserve"> apart). Then come </w:t>
      </w:r>
      <w:r>
        <w:t>midstream batteries</w:t>
      </w:r>
      <w:r>
        <w:t xml:space="preserve"> (</w:t>
      </w:r>
      <w:r>
        <w:t>4th</w:t>
      </w:r>
      <w:r>
        <w:t xml:space="preserve">) and </w:t>
      </w:r>
      <w:r>
        <w:t>upstream wind</w:t>
      </w:r>
      <w:r>
        <w:t xml:space="preserve"> (</w:t>
      </w:r>
      <w:r>
        <w:t>5th</w:t>
      </w:r>
      <w:r>
        <w:t>), also almost tied (</w:t>
      </w:r>
      <w:r>
        <w:t>0.001</w:t>
      </w:r>
      <w:r>
        <w:t>).</w:t>
      </w:r>
      <w:r>
        <w:rPr>
          <w:color w:val="4B5563"/>
          <w:vertAlign w:val="superscript"/>
        </w:rPr>
        <w:t>1,2</w:t>
      </w:r>
    </w:p>
    <w:p>
      <w:r>
        <w:t>Finland</w:t>
      </w:r>
      <w:r>
        <w:t xml:space="preserve">'s allied pick, its top upstream or midstream sector after a screen for resource endowment, is </w:t>
      </w:r>
      <w:r>
        <w:t>upstream nuclear</w:t>
      </w:r>
      <w:r>
        <w:t xml:space="preserve">, </w:t>
      </w:r>
      <w:r>
        <w:t>0.025</w:t>
      </w:r>
      <w:r>
        <w:t xml:space="preserve"> ahead of </w:t>
      </w:r>
      <w:r>
        <w:t>midstream batteries</w:t>
      </w:r>
      <w:r>
        <w:t>.</w:t>
      </w:r>
      <w:r>
        <w:rPr>
          <w:color w:val="4B5563"/>
          <w:vertAlign w:val="superscript"/>
        </w:rPr>
        <w:t>9</w:t>
      </w:r>
    </w:p>
    <w:p>
      <w:r>
        <w:t xml:space="preserve">Policy activity counts International Energy Agency policy records and the Climate Action Tracker rating, which favours low-emission technologies over coal, oil and gas. </w:t>
      </w:r>
      <w:r>
        <w:t>Finland</w:t>
      </w:r>
      <w:r>
        <w:t xml:space="preserve"> has </w:t>
      </w:r>
      <w:r>
        <w:t>179</w:t>
      </w:r>
      <w:r>
        <w:t xml:space="preserve"> such records, </w:t>
      </w:r>
      <w:r>
        <w:t>97</w:t>
      </w:r>
      <w:r>
        <w:t xml:space="preserve"> of which name a technology, and carries the European Union's Climate Action Tracker rating, </w:t>
      </w:r>
      <w:r>
        <w:t>Insufficient</w:t>
      </w:r>
      <w:r>
        <w:t xml:space="preserve">. Policy activity partly agrees with priority, which is the Strategic Index without its policy term. No top priority has the least policy; top priority and the most policy coincide in </w:t>
      </w:r>
      <w:r>
        <w:t>upstream batteries, midstream batteries and midstream solar</w:t>
      </w:r>
      <w:r>
        <w:t xml:space="preserve">. Among the top priorities, policy activity is weakest in </w:t>
      </w:r>
      <w:r>
        <w:t>upstream green hydrogen</w:t>
      </w:r>
      <w:r>
        <w:t xml:space="preserve">, in the </w:t>
      </w:r>
      <w:r>
        <w:t>top third</w:t>
      </w:r>
      <w:r>
        <w:t xml:space="preserve"> on priority but only </w:t>
      </w:r>
      <w:r>
        <w:t>18th</w:t>
      </w:r>
      <w:r>
        <w:t xml:space="preserve"> on policy. Among the bottom priorities, the most policy goes to </w:t>
      </w:r>
      <w:r>
        <w:t>downstream wind and downstream green hydrogen</w:t>
      </w:r>
      <w:r>
        <w:t xml:space="preserve">, and the least to </w:t>
      </w:r>
      <w:r>
        <w:t>7</w:t>
      </w:r>
      <w:r>
        <w:t xml:space="preserve"> coal, oil and gas sectors. For context, the Country Insights page lists, by sector, the strongest active industrial-policy measures that Global Trade Alert records under </w:t>
      </w:r>
      <w:r>
        <w:t>Finland</w:t>
      </w:r>
      <w:r>
        <w:t>, including EU-wide ones; they do not count towards policy activity.</w:t>
      </w:r>
      <w:r>
        <w:rPr>
          <w:color w:val="4B5563"/>
          <w:vertAlign w:val="superscript"/>
        </w:rPr>
        <w:t>1,2,10</w:t>
      </w:r>
    </w:p>
    <w:p>
      <w:pPr>
        <w:pStyle w:val="Heading1"/>
      </w:pPr>
      <w:r>
        <w:t>4. Partnership priorities and why</w:t>
      </w:r>
    </w:p>
    <w:p>
      <w:r>
        <w:t xml:space="preserve">From </w:t>
      </w:r>
      <w:r>
        <w:t>Finland</w:t>
      </w:r>
      <w:r>
        <w:t xml:space="preserve">'s viewpoint, the Partnership Strength Index rates </w:t>
      </w:r>
      <w:r>
        <w:t>Sweden</w:t>
      </w:r>
      <w:r>
        <w:t xml:space="preserve"> highest, as a </w:t>
      </w:r>
      <w:r>
        <w:t>reliable supplier</w:t>
      </w:r>
      <w:r>
        <w:t xml:space="preserve"> strongest in </w:t>
      </w:r>
      <w:r>
        <w:t>upstream electric grid, upstream solar, downstream wind, downstream solar and upstream gas</w:t>
      </w:r>
      <w:r>
        <w:t xml:space="preserve">. The index combines how reliable a supplier a partner is (Friendshore), how good a market it is (Partnership Opportunity) and, for lower-income partners, Development Potential. </w:t>
      </w:r>
      <w:r>
        <w:t>Germany</w:t>
      </w:r>
      <w:r>
        <w:t xml:space="preserve"> ranks </w:t>
      </w:r>
      <w:r>
        <w:t>2nd</w:t>
      </w:r>
      <w:r>
        <w:t xml:space="preserve"> and the </w:t>
      </w:r>
      <w:r>
        <w:t>United States</w:t>
      </w:r>
      <w:r>
        <w:t xml:space="preserve"> </w:t>
      </w:r>
      <w:r>
        <w:t>3rd</w:t>
      </w:r>
      <w:r>
        <w:t xml:space="preserve">, both as a </w:t>
      </w:r>
      <w:r>
        <w:t>reliable supplier</w:t>
      </w:r>
      <w:r>
        <w:t xml:space="preserve">, followed by </w:t>
      </w:r>
      <w:r>
        <w:t>Belgium</w:t>
      </w:r>
      <w:r>
        <w:t xml:space="preserve"> (</w:t>
      </w:r>
      <w:r>
        <w:t>4th</w:t>
      </w:r>
      <w:r>
        <w:t xml:space="preserve">, </w:t>
      </w:r>
      <w:r>
        <w:t>export market</w:t>
      </w:r>
      <w:r>
        <w:t xml:space="preserve">) and </w:t>
      </w:r>
      <w:r>
        <w:t>Norway</w:t>
      </w:r>
      <w:r>
        <w:t xml:space="preserve"> (</w:t>
      </w:r>
      <w:r>
        <w:t>5th</w:t>
      </w:r>
      <w:r>
        <w:t xml:space="preserve">, </w:t>
      </w:r>
      <w:r>
        <w:t>reliable supplier</w:t>
      </w:r>
      <w:r>
        <w:t>).</w:t>
      </w:r>
      <w:r>
        <w:rPr>
          <w:color w:val="4B5563"/>
          <w:vertAlign w:val="superscript"/>
        </w:rPr>
        <w:t>1</w:t>
      </w:r>
    </w:p>
    <w:p>
      <w:r>
        <w:t xml:space="preserve">Today's ties largely match these ranks. </w:t>
      </w:r>
      <w:r>
        <w:t>Sweden</w:t>
      </w:r>
      <w:r>
        <w:t xml:space="preserve">, </w:t>
      </w:r>
      <w:r>
        <w:t>Germany</w:t>
      </w:r>
      <w:r>
        <w:t xml:space="preserve"> and the </w:t>
      </w:r>
      <w:r>
        <w:t>United States</w:t>
      </w:r>
      <w:r>
        <w:t xml:space="preserve"> are also its </w:t>
      </w:r>
      <w:r>
        <w:t>1st</w:t>
      </w:r>
      <w:r>
        <w:t xml:space="preserve">, </w:t>
      </w:r>
      <w:r>
        <w:t>2nd</w:t>
      </w:r>
      <w:r>
        <w:t xml:space="preserve"> and </w:t>
      </w:r>
      <w:r>
        <w:t>3rd</w:t>
      </w:r>
      <w:r>
        <w:t xml:space="preserve"> trade partners on average across its energy-goods baskets, and </w:t>
      </w:r>
      <w:r>
        <w:t>Norway</w:t>
      </w:r>
      <w:r>
        <w:t xml:space="preserve"> is its </w:t>
      </w:r>
      <w:r>
        <w:t>6th</w:t>
      </w:r>
      <w:r>
        <w:t xml:space="preserve">. </w:t>
      </w:r>
      <w:r>
        <w:t>Belgium</w:t>
      </w:r>
      <w:r>
        <w:t xml:space="preserve">, by contrast, is only its </w:t>
      </w:r>
      <w:r>
        <w:t>22nd</w:t>
      </w:r>
      <w:r>
        <w:t xml:space="preserve">. </w:t>
      </w:r>
      <w:r>
        <w:t>Sweden</w:t>
      </w:r>
      <w:r>
        <w:t xml:space="preserve">, </w:t>
      </w:r>
      <w:r>
        <w:t>Germany</w:t>
      </w:r>
      <w:r>
        <w:t xml:space="preserve">, the </w:t>
      </w:r>
      <w:r>
        <w:t>United States</w:t>
      </w:r>
      <w:r>
        <w:t xml:space="preserve"> and </w:t>
      </w:r>
      <w:r>
        <w:t>Norway</w:t>
      </w:r>
      <w:r>
        <w:t xml:space="preserve"> each share </w:t>
      </w:r>
      <w:r>
        <w:t>NATO and the Minerals Security Partnership</w:t>
      </w:r>
      <w:r>
        <w:t xml:space="preserve"> with </w:t>
      </w:r>
      <w:r>
        <w:t>Finland</w:t>
      </w:r>
      <w:r>
        <w:t xml:space="preserve">. The reverse case is </w:t>
      </w:r>
      <w:r>
        <w:t>China</w:t>
      </w:r>
      <w:r>
        <w:t xml:space="preserve">: its </w:t>
      </w:r>
      <w:r>
        <w:t>5th</w:t>
      </w:r>
      <w:r>
        <w:t xml:space="preserve"> trade partner, it ranks </w:t>
      </w:r>
      <w:r>
        <w:t>36th</w:t>
      </w:r>
      <w:r>
        <w:t xml:space="preserve"> on Partnership Strength and rates best as a </w:t>
      </w:r>
      <w:r>
        <w:t>development partner</w:t>
      </w:r>
      <w:r>
        <w:t xml:space="preserve">. It shares none of </w:t>
      </w:r>
      <w:r>
        <w:t>Finland</w:t>
      </w:r>
      <w:r>
        <w:t xml:space="preserve">'s economic-security agreements, and their UN votes put them in </w:t>
      </w:r>
      <w:r>
        <w:t>opposite blocs</w:t>
      </w:r>
      <w:r>
        <w:t>.</w:t>
      </w:r>
      <w:r>
        <w:rPr>
          <w:color w:val="4B5563"/>
          <w:vertAlign w:val="superscript"/>
        </w:rPr>
        <w:t>1,3,11,12</w:t>
      </w:r>
    </w:p>
    <w:p>
      <w:r>
        <w:t xml:space="preserve">As a partner to the coalition, </w:t>
      </w:r>
      <w:r>
        <w:t>Finland</w:t>
      </w:r>
      <w:r>
        <w:t xml:space="preserve"> ranks </w:t>
      </w:r>
      <w:r>
        <w:t>18th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 its shares are derived from the European Union's: they are largest in </w:t>
      </w:r>
      <w:r>
        <w:t>upstream electric vehicles</w:t>
      </w:r>
      <w:r>
        <w:t xml:space="preserve"> (</w:t>
      </w:r>
      <w:r>
        <w:t>1.4%</w:t>
      </w:r>
      <w:r>
        <w:t xml:space="preserve"> of designed coalition production) and </w:t>
      </w:r>
      <w:r>
        <w:t>midstream coal</w:t>
      </w:r>
      <w:r>
        <w:t xml:space="preserve"> (</w:t>
      </w:r>
      <w:r>
        <w:t>0.8%</w:t>
      </w:r>
      <w:r>
        <w:t>).</w:t>
      </w:r>
      <w:r>
        <w:rPr>
          <w:color w:val="4B5563"/>
          <w:vertAlign w:val="superscript"/>
        </w:rPr>
        <w:t>1,9</w:t>
      </w:r>
    </w:p>
    <w:p>
      <w:pPr>
        <w:pStyle w:val="Heading1"/>
      </w:pPr>
      <w:r>
        <w:t>5. Data notes and caveats</w:t>
      </w:r>
    </w:p>
    <w:p>
      <w:r>
        <w:t xml:space="preserve">Figures are as of </w:t>
      </w:r>
      <w:r>
        <w:t>12 October 2026</w:t>
      </w:r>
      <w:r>
        <w:t xml:space="preserve">. </w:t>
      </w:r>
      <w:r>
        <w:t>Scores compare Finland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Many allied picks are close calls: in the paper, 37% of them are within 0.01 of the runner-up.</w:t>
      </w:r>
      <w:r>
        <w:t xml:space="preserve"> </w:t>
      </w:r>
      <w:r>
        <w:t>In the allied network design the European Union is one producer; Finland's shares are derived from its weight within the EU.</w:t>
      </w:r>
      <w:r>
        <w:t xml:space="preserve"> </w:t>
      </w:r>
      <w:r>
        <w:t>The Climate Action Tracker rates the EU as a whole; Finland carries the EU's rating.</w:t>
      </w:r>
      <w:r>
        <w:t xml:space="preserve"> </w:t>
      </w:r>
      <w:r>
        <w:t>Finland's counts leave out the EU's own 438 International Energy Agency policy records.</w:t>
      </w:r>
      <w:r>
        <w:t xml:space="preserve"> </w:t>
      </w:r>
      <w:r>
        <w:t>Trade figures count trade with other EU members.</w:t>
      </w:r>
      <w:r>
        <w:t xml:space="preserve"> </w:t>
      </w:r>
      <w:r>
        <w:t>Each EU member carries the EU's announced 2035 manufacturing-capacity shares and electric-vehicle figures.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International Energy Agency, Energy Technology Perspectives 2024: manufacturing capacity shares; International Energy Agency terms of use; https://www.iea.org/.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Finland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Finland: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FIN</cp:keywords>
  <dc:description>paper baseline as of 12 October 2026; fact sheet sha256 f59ef6e3038f6910e52d26d4227cc43c23251f88d37ab5d27cafdf7b2f4e98bf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