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Kingdom: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The United Kingdom is most exposed in </w:t>
            </w:r>
            <w:r>
              <w:t>downstream coal</w:t>
            </w:r>
            <w:r>
              <w:t xml:space="preserve">, </w:t>
            </w:r>
            <w:r>
              <w:t>downstream oil</w:t>
            </w:r>
            <w:r>
              <w:t xml:space="preserve"> and </w:t>
            </w:r>
            <w:r>
              <w:t>downstream gas</w:t>
            </w:r>
            <w:r>
              <w:t xml:space="preserve">, where its Energy Security is higher than only </w:t>
            </w:r>
            <w:r>
              <w:t>0%</w:t>
            </w:r>
            <w:r>
              <w:t xml:space="preserve">, </w:t>
            </w:r>
            <w:r>
              <w:t>1%</w:t>
            </w:r>
            <w:r>
              <w:t xml:space="preserve"> and </w:t>
            </w:r>
            <w:r>
              <w:t>9%</w:t>
            </w:r>
            <w:r>
              <w:t xml:space="preserve"> of the other economies scored. Low </w:t>
            </w:r>
            <w:r>
              <w:t>consumption</w:t>
            </w:r>
            <w:r>
              <w:t xml:space="preserve"> and </w:t>
            </w:r>
            <w:r>
              <w:t>energy access</w:t>
            </w:r>
            <w:r>
              <w:t xml:space="preserve"> scores pull these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strongest openings are in </w:t>
            </w:r>
            <w:r>
              <w:t>downstream electric vehicles</w:t>
            </w:r>
            <w:r>
              <w:t xml:space="preserve"> and </w:t>
            </w:r>
            <w:r>
              <w:t>downstream batteries</w:t>
            </w:r>
            <w:r>
              <w:t xml:space="preserve">, where its Economic Opportunity is higher than </w:t>
            </w:r>
            <w:r>
              <w:t>92%</w:t>
            </w:r>
            <w:r>
              <w:t xml:space="preserve"> and </w:t>
            </w:r>
            <w:r>
              <w:t>86%</w:t>
            </w:r>
            <w:r>
              <w:t xml:space="preserve"> of the other economies scored, both lifted by </w:t>
            </w:r>
            <w:r>
              <w:t>investment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its top Strategic Index sectors are </w:t>
            </w:r>
            <w:r>
              <w:t>upstream nuclear</w:t>
            </w:r>
            <w:r>
              <w:t xml:space="preserve">, </w:t>
            </w:r>
            <w:r>
              <w:t>upstream solar</w:t>
            </w:r>
            <w:r>
              <w:t xml:space="preserve"> and </w:t>
            </w:r>
            <w:r>
              <w:t>downstream batteries</w:t>
            </w:r>
            <w:r>
              <w:t xml:space="preserve">. Comparing priority with policy, </w:t>
            </w:r>
            <w:r>
              <w:t>midstream batteries</w:t>
            </w:r>
            <w:r>
              <w:t xml:space="preserve"> is </w:t>
            </w:r>
            <w:r>
              <w:t>top priority with the most policy</w:t>
            </w:r>
            <w:r>
              <w:t xml:space="preserve">; </w:t>
            </w:r>
            <w:r>
              <w:t>upstream electric vehicles</w:t>
            </w:r>
            <w:r>
              <w:t xml:space="preserve"> is </w:t>
            </w:r>
            <w:r>
              <w:t>top priority with the least policy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the </w:t>
            </w:r>
            <w:r>
              <w:t>United States</w:t>
            </w:r>
            <w:r>
              <w:t xml:space="preserve"> highest for the United Kingdom, a </w:t>
            </w:r>
            <w:r>
              <w:t>reliable supplier</w:t>
            </w:r>
            <w:r>
              <w:t xml:space="preserve"> and its </w:t>
            </w:r>
            <w:r>
              <w:t>1st</w:t>
            </w:r>
            <w:r>
              <w:t xml:space="preserve"> trade partner. </w:t>
            </w:r>
            <w:r>
              <w:t>China</w:t>
            </w:r>
            <w:r>
              <w:t xml:space="preserve">, its </w:t>
            </w:r>
            <w:r>
              <w:t>3rd</w:t>
            </w:r>
            <w:r>
              <w:t xml:space="preserve"> trade partner, ranks </w:t>
            </w:r>
            <w:r>
              <w:t>48th</w:t>
            </w:r>
            <w:r>
              <w:t>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 xml:space="preserve">Of the United Kingdom's </w:t>
      </w:r>
      <w:r>
        <w:t>25</w:t>
      </w:r>
      <w:r>
        <w:t xml:space="preserve"> placed sectors, those comparable with other economies, </w:t>
      </w:r>
      <w:r>
        <w:t>4</w:t>
      </w:r>
      <w:r>
        <w:t xml:space="preserve"> sit in the two low-energy-security corners. All </w:t>
      </w:r>
      <w:r>
        <w:t>4</w:t>
      </w:r>
      <w:r>
        <w:t xml:space="preserve"> are in the Secure corner, which pairs low energy security with low opportunity. The paper's framework, after RMI (2025), associates the Secure corner with securing supply through trusted partners.</w:t>
      </w:r>
      <w:r>
        <w:rPr>
          <w:color w:val="4B5563"/>
          <w:vertAlign w:val="superscript"/>
        </w:rPr>
        <w:t>1</w:t>
      </w:r>
    </w:p>
    <w:p>
      <w:r>
        <w:t xml:space="preserve">Energy Security measures how well a country can rely on what it needs. Its lowest Energy Security percentiles are in </w:t>
      </w:r>
      <w:r>
        <w:t>downstream coal</w:t>
      </w:r>
      <w:r>
        <w:t xml:space="preserve">, </w:t>
      </w:r>
      <w:r>
        <w:t>downstream oil</w:t>
      </w:r>
      <w:r>
        <w:t xml:space="preserve">, </w:t>
      </w:r>
      <w:r>
        <w:t>downstream gas</w:t>
      </w:r>
      <w:r>
        <w:t xml:space="preserve"> and </w:t>
      </w:r>
      <w:r>
        <w:t>upstream nuclear</w:t>
      </w:r>
      <w:r>
        <w:t xml:space="preserve">. It scores higher than only </w:t>
      </w:r>
      <w:r>
        <w:t>0%</w:t>
      </w:r>
      <w:r>
        <w:t xml:space="preserve">, </w:t>
      </w:r>
      <w:r>
        <w:t>1%</w:t>
      </w:r>
      <w:r>
        <w:t xml:space="preserve"> and </w:t>
      </w:r>
      <w:r>
        <w:t>9%</w:t>
      </w:r>
      <w:r>
        <w:t xml:space="preserve"> of the other </w:t>
      </w:r>
      <w:r>
        <w:t>98</w:t>
      </w:r>
      <w:r>
        <w:t xml:space="preserve"> economies scored in each downstream sector, and higher than </w:t>
      </w:r>
      <w:r>
        <w:t>11%</w:t>
      </w:r>
      <w:r>
        <w:t xml:space="preserve"> of the other </w:t>
      </w:r>
      <w:r>
        <w:t>174</w:t>
      </w:r>
      <w:r>
        <w:t xml:space="preserve"> in </w:t>
      </w:r>
      <w:r>
        <w:t>upstream nuclear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Its top Strategic Index sector is </w:t>
      </w:r>
      <w:r>
        <w:t>upstream nuclear</w:t>
      </w:r>
      <w:r>
        <w:t xml:space="preserve">. There its Energy Security score of </w:t>
      </w:r>
      <w:r>
        <w:t>0.16</w:t>
      </w:r>
      <w:r>
        <w:t xml:space="preserve"> sits just below the sector's median of </w:t>
      </w:r>
      <w:r>
        <w:t>0.17</w:t>
      </w:r>
      <w:r>
        <w:t xml:space="preserve">, in the </w:t>
      </w:r>
      <w:r>
        <w:t>Secure</w:t>
      </w:r>
      <w:r>
        <w:t xml:space="preserve"> corner. The gap to the median mainly reflects its </w:t>
      </w:r>
      <w:r>
        <w:t>trade</w:t>
      </w:r>
      <w:r>
        <w:t xml:space="preserve"> category. Its trade deficit in these goods came to </w:t>
      </w:r>
      <w:r>
        <w:t>&lt;0.1% of GDP</w:t>
      </w:r>
      <w:r>
        <w:t xml:space="preserve"> in </w:t>
      </w:r>
      <w:r>
        <w:t>2023</w:t>
      </w:r>
      <w:r>
        <w:t xml:space="preserve">, a measure on which it scores higher than only </w:t>
      </w:r>
      <w:r>
        <w:t>2%</w:t>
      </w:r>
      <w:r>
        <w:t xml:space="preserve"> of the other economies. No reserves are recorded for the United Kingdom, which the index counts as zero, as for the median economy. For context, its largest suppliers in </w:t>
      </w:r>
      <w:r>
        <w:t>2024</w:t>
      </w:r>
      <w:r>
        <w:t xml:space="preserve"> were </w:t>
      </w:r>
      <w:r>
        <w:t>Canada</w:t>
      </w:r>
      <w:r>
        <w:t xml:space="preserve"> (</w:t>
      </w:r>
      <w:r>
        <w:t>51.1%</w:t>
      </w:r>
      <w:r>
        <w:t xml:space="preserve"> of its imports) and the </w:t>
      </w:r>
      <w:r>
        <w:t>United States</w:t>
      </w:r>
      <w:r>
        <w:t xml:space="preserve"> (</w:t>
      </w:r>
      <w:r>
        <w:t>48.9%</w:t>
      </w:r>
      <w:r>
        <w:t>).</w:t>
      </w:r>
      <w:r>
        <w:rPr>
          <w:color w:val="4B5563"/>
          <w:vertAlign w:val="superscript"/>
        </w:rPr>
        <w:t>1,2,3</w:t>
      </w:r>
    </w:p>
    <w:p>
      <w:r>
        <w:t xml:space="preserve">In </w:t>
      </w:r>
      <w:r>
        <w:t>downstream coal</w:t>
      </w:r>
      <w:r>
        <w:t xml:space="preserve">, the score is low mainly because of its </w:t>
      </w:r>
      <w:r>
        <w:t>consumption</w:t>
      </w:r>
      <w:r>
        <w:t xml:space="preserve"> and </w:t>
      </w:r>
      <w:r>
        <w:t>energy access</w:t>
      </w:r>
      <w:r>
        <w:t xml:space="preserve"> categories, and part of the consumption data is filled in with the world average. Its consumption in this sector was </w:t>
      </w:r>
      <w:r>
        <w:t>0.714 GJ per person</w:t>
      </w:r>
      <w:r>
        <w:t xml:space="preserve"> in </w:t>
      </w:r>
      <w:r>
        <w:t>2025</w:t>
      </w:r>
      <w:r>
        <w:t xml:space="preserve">, and its change in consumption per person was </w:t>
      </w:r>
      <w:r>
        <w:t>-78.7%</w:t>
      </w:r>
      <w:r>
        <w:t xml:space="preserve">. In </w:t>
      </w:r>
      <w:r>
        <w:t>downstream oil</w:t>
      </w:r>
      <w:r>
        <w:t xml:space="preserve">, the same </w:t>
      </w:r>
      <w:r>
        <w:t>consumption</w:t>
      </w:r>
      <w:r>
        <w:t xml:space="preserve"> category pulls the score down most. On expected growth in use per person and on use per person today, it scores higher than only </w:t>
      </w:r>
      <w:r>
        <w:t>2%</w:t>
      </w:r>
      <w:r>
        <w:t xml:space="preserve"> and </w:t>
      </w:r>
      <w:r>
        <w:t>2%</w:t>
      </w:r>
      <w:r>
        <w:t xml:space="preserve"> of the other economies.</w:t>
      </w:r>
      <w:r>
        <w:rPr>
          <w:color w:val="4B5563"/>
          <w:vertAlign w:val="superscript"/>
        </w:rPr>
        <w:t>1,4</w:t>
      </w:r>
    </w:p>
    <w:p>
      <w:pPr>
        <w:pStyle w:val="Heading1"/>
      </w:pPr>
      <w:r>
        <w:t>2. Economic opportunities and why</w:t>
      </w:r>
    </w:p>
    <w:p>
      <w:r>
        <w:t xml:space="preserve">The United Kingdom's openings are broad: </w:t>
      </w:r>
      <w:r>
        <w:t>16</w:t>
      </w:r>
      <w:r>
        <w:t xml:space="preserve"> of its placed sectors sit in the two high-opportunity corners, all of them in the Grow corner, which pairs high opportunity with high energy security. The paper's framework, after RMI (2025), associates the Grow corner with export promotion.</w:t>
      </w:r>
      <w:r>
        <w:rPr>
          <w:color w:val="4B5563"/>
          <w:vertAlign w:val="superscript"/>
        </w:rPr>
        <w:t>1</w:t>
      </w:r>
    </w:p>
    <w:p>
      <w:r>
        <w:t xml:space="preserve">Economic Opportunity measures how well placed a country is to create value. Its highest Economic Opportunity percentiles are in </w:t>
      </w:r>
      <w:r>
        <w:t>downstream electric vehicles</w:t>
      </w:r>
      <w:r>
        <w:t xml:space="preserve">, </w:t>
      </w:r>
      <w:r>
        <w:t>downstream batteries</w:t>
      </w:r>
      <w:r>
        <w:t xml:space="preserve">, </w:t>
      </w:r>
      <w:r>
        <w:t>upstream solar</w:t>
      </w:r>
      <w:r>
        <w:t xml:space="preserve"> and </w:t>
      </w:r>
      <w:r>
        <w:t>midstream electric vehicles</w:t>
      </w:r>
      <w:r>
        <w:t xml:space="preserve">. It scores higher than </w:t>
      </w:r>
      <w:r>
        <w:t>92%</w:t>
      </w:r>
      <w:r>
        <w:t xml:space="preserve">, </w:t>
      </w:r>
      <w:r>
        <w:t>86%</w:t>
      </w:r>
      <w:r>
        <w:t xml:space="preserve">, </w:t>
      </w:r>
      <w:r>
        <w:t>86%</w:t>
      </w:r>
      <w:r>
        <w:t xml:space="preserve"> and </w:t>
      </w:r>
      <w:r>
        <w:t>80%</w:t>
      </w:r>
      <w:r>
        <w:t xml:space="preserve"> of the other economies scored in these sectors, respectively.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electric vehicles</w:t>
      </w:r>
      <w:r>
        <w:t xml:space="preserve">, the score is high mainly because of </w:t>
      </w:r>
      <w:r>
        <w:t>investment</w:t>
      </w:r>
      <w:r>
        <w:t xml:space="preserve"> and </w:t>
      </w:r>
      <w:r>
        <w:t>technology demand</w:t>
      </w:r>
      <w:r>
        <w:t xml:space="preserve">. On annual investment it scores higher than </w:t>
      </w:r>
      <w:r>
        <w:t>97%</w:t>
      </w:r>
      <w:r>
        <w:t xml:space="preserve"> of the other economies, and on the expected size and growth of domestic demand higher than </w:t>
      </w:r>
      <w:r>
        <w:t>89%</w:t>
      </w:r>
      <w:r>
        <w:t xml:space="preserve">. In </w:t>
      </w:r>
      <w:r>
        <w:t>downstream batteries</w:t>
      </w:r>
      <w:r>
        <w:t xml:space="preserve">, </w:t>
      </w:r>
      <w:r>
        <w:t>investment</w:t>
      </w:r>
      <w:r>
        <w:t xml:space="preserve"> pushes the score up: on annual investment it scores higher than </w:t>
      </w:r>
      <w:r>
        <w:t>97%</w:t>
      </w:r>
      <w:r>
        <w:t xml:space="preserve"> of the other economies.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midstream electric vehicles</w:t>
      </w:r>
      <w:r>
        <w:t xml:space="preserve">, </w:t>
      </w:r>
      <w:r>
        <w:t>investment</w:t>
      </w:r>
      <w:r>
        <w:t xml:space="preserve"> and </w:t>
      </w:r>
      <w:r>
        <w:t>trade</w:t>
      </w:r>
      <w:r>
        <w:t xml:space="preserve"> push the score up. Its exports of these goods reached </w:t>
      </w:r>
      <w:r>
        <w:t>USD 29.8 bn</w:t>
      </w:r>
      <w:r>
        <w:t xml:space="preserve"> in </w:t>
      </w:r>
      <w:r>
        <w:t>2024</w:t>
      </w:r>
      <w:r>
        <w:t xml:space="preserve">, and its revealed comparative advantage is </w:t>
      </w:r>
      <w:r>
        <w:t>1.28</w:t>
      </w:r>
      <w:r>
        <w:t xml:space="preserve">: above the neutral value, so these goods weigh more in its exports than in world trade. For context, its largest markets for these goods in </w:t>
      </w:r>
      <w:r>
        <w:t>2024</w:t>
      </w:r>
      <w:r>
        <w:t xml:space="preserve"> were the </w:t>
      </w:r>
      <w:r>
        <w:t>United States</w:t>
      </w:r>
      <w:r>
        <w:t xml:space="preserve"> (</w:t>
      </w:r>
      <w:r>
        <w:t>25.5%</w:t>
      </w:r>
      <w:r>
        <w:t xml:space="preserve">) and </w:t>
      </w:r>
      <w:r>
        <w:t>Germany</w:t>
      </w:r>
      <w:r>
        <w:t xml:space="preserve"> (</w:t>
      </w:r>
      <w:r>
        <w:t>11.4%</w:t>
      </w:r>
      <w:r>
        <w:t>).</w:t>
      </w:r>
      <w:r>
        <w:rPr>
          <w:color w:val="4B5563"/>
          <w:vertAlign w:val="superscript"/>
        </w:rPr>
        <w:t>2,5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technology. On the paper's weighting, it ranks </w:t>
      </w:r>
      <w:r>
        <w:t>upstream nuclear</w:t>
      </w:r>
      <w:r>
        <w:t xml:space="preserve"> </w:t>
      </w:r>
      <w:r>
        <w:t>1st</w:t>
      </w:r>
      <w:r>
        <w:t xml:space="preserve"> among the United Kingdom's own sectors, scoring </w:t>
      </w:r>
      <w:r>
        <w:t>0.66</w:t>
      </w:r>
      <w:r>
        <w:t xml:space="preserve">, </w:t>
      </w:r>
      <w:r>
        <w:t>0.013</w:t>
      </w:r>
      <w:r>
        <w:t xml:space="preserve"> ahead of the next. Its security-need term, </w:t>
      </w:r>
      <w:r>
        <w:t>0.251</w:t>
      </w:r>
      <w:r>
        <w:t xml:space="preserve">, outweighs its opportunity term, </w:t>
      </w:r>
      <w:r>
        <w:t>0.152</w:t>
      </w:r>
      <w:r>
        <w:t xml:space="preserve">. Next come </w:t>
      </w:r>
      <w:r>
        <w:t>upstream solar</w:t>
      </w:r>
      <w:r>
        <w:t xml:space="preserve"> (</w:t>
      </w:r>
      <w:r>
        <w:t>2nd</w:t>
      </w:r>
      <w:r>
        <w:t xml:space="preserve">), </w:t>
      </w:r>
      <w:r>
        <w:t>downstream batteries</w:t>
      </w:r>
      <w:r>
        <w:t xml:space="preserve"> (</w:t>
      </w:r>
      <w:r>
        <w:t>3rd</w:t>
      </w:r>
      <w:r>
        <w:t xml:space="preserve">) and </w:t>
      </w:r>
      <w:r>
        <w:t>upstream wind</w:t>
      </w:r>
      <w:r>
        <w:t xml:space="preserve"> (</w:t>
      </w:r>
      <w:r>
        <w:t>4th</w:t>
      </w:r>
      <w:r>
        <w:t>), each almost tied with the next (</w:t>
      </w:r>
      <w:r>
        <w:t>0.009</w:t>
      </w:r>
      <w:r>
        <w:t xml:space="preserve">, </w:t>
      </w:r>
      <w:r>
        <w:t>0.008</w:t>
      </w:r>
      <w:r>
        <w:t xml:space="preserve"> and </w:t>
      </w:r>
      <w:r>
        <w:t>0.004</w:t>
      </w:r>
      <w:r>
        <w:t xml:space="preserve"> apart).</w:t>
      </w:r>
      <w:r>
        <w:rPr>
          <w:color w:val="4B5563"/>
          <w:vertAlign w:val="superscript"/>
        </w:rPr>
        <w:t>1</w:t>
      </w:r>
    </w:p>
    <w:p>
      <w:r>
        <w:t xml:space="preserve">In the allied network design, the paper's model of shared coalition production, a member's allied pick is its best-ranked upstream or midstream sector on the Strategic Index after a resource-base screen. The United Kingdom's </w:t>
      </w:r>
      <w:r>
        <w:t>upstream nuclear</w:t>
      </w:r>
      <w:r>
        <w:t xml:space="preserve">, </w:t>
      </w:r>
      <w:r>
        <w:t>upstream solar</w:t>
      </w:r>
      <w:r>
        <w:t xml:space="preserve">, </w:t>
      </w:r>
      <w:r>
        <w:t>upstream wind</w:t>
      </w:r>
      <w:r>
        <w:t xml:space="preserve"> and </w:t>
      </w:r>
      <w:r>
        <w:t>upstream electric grid</w:t>
      </w:r>
      <w:r>
        <w:t xml:space="preserve"> sectors have no recorded resource base, so its allied pick is </w:t>
      </w:r>
      <w:r>
        <w:t>midstream batteries</w:t>
      </w:r>
      <w:r>
        <w:t xml:space="preserve">, almost tied with </w:t>
      </w:r>
      <w:r>
        <w:t>midstream electric grid</w:t>
      </w:r>
      <w:r>
        <w:t xml:space="preserve"> (</w:t>
      </w:r>
      <w:r>
        <w:t>0.004</w:t>
      </w:r>
      <w:r>
        <w:t xml:space="preserve"> apart).</w:t>
      </w:r>
      <w:r>
        <w:rPr>
          <w:color w:val="4B5563"/>
          <w:vertAlign w:val="superscript"/>
        </w:rPr>
        <w:t>6</w:t>
      </w:r>
    </w:p>
    <w:p>
      <w:r>
        <w:t xml:space="preserve">Setting the policy term aside and comparing priority with policy activity, </w:t>
      </w:r>
      <w:r>
        <w:t>midstream batteries</w:t>
      </w:r>
      <w:r>
        <w:t xml:space="preserve"> and </w:t>
      </w:r>
      <w:r>
        <w:t>midstream electric grid</w:t>
      </w:r>
      <w:r>
        <w:t xml:space="preserve"> are </w:t>
      </w:r>
      <w:r>
        <w:t>top priority with the most policy</w:t>
      </w:r>
      <w:r>
        <w:t xml:space="preserve">. The </w:t>
      </w:r>
      <w:r>
        <w:t>upstream electric vehicles</w:t>
      </w:r>
      <w:r>
        <w:t xml:space="preserve"> sector is </w:t>
      </w:r>
      <w:r>
        <w:t>top priority with the least policy</w:t>
      </w:r>
      <w:r>
        <w:t xml:space="preserve">: </w:t>
      </w:r>
      <w:r>
        <w:t>8th</w:t>
      </w:r>
      <w:r>
        <w:t xml:space="preserve"> on priority but </w:t>
      </w:r>
      <w:r>
        <w:t>18th</w:t>
      </w:r>
      <w:r>
        <w:t xml:space="preserve"> on policy activity, with </w:t>
      </w:r>
      <w:r>
        <w:t>3</w:t>
      </w:r>
      <w:r>
        <w:t xml:space="preserve"> International Energy Agency policy records naming its technology and stage. In </w:t>
      </w:r>
      <w:r>
        <w:t>downstream batteries</w:t>
      </w:r>
      <w:r>
        <w:t xml:space="preserve">, policy activity, where it ranks </w:t>
      </w:r>
      <w:r>
        <w:t>1st</w:t>
      </w:r>
      <w:r>
        <w:t xml:space="preserve">, lifts the Strategic Index rank to </w:t>
      </w:r>
      <w:r>
        <w:t>3rd</w:t>
      </w:r>
      <w:r>
        <w:t xml:space="preserve"> from </w:t>
      </w:r>
      <w:r>
        <w:t>11th</w:t>
      </w:r>
      <w:r>
        <w:t xml:space="preserve"> without the policy term. At the bottom, </w:t>
      </w:r>
      <w:r>
        <w:t>6</w:t>
      </w:r>
      <w:r>
        <w:t xml:space="preserve"> fossil-fuel sectors are </w:t>
      </w:r>
      <w:r>
        <w:t>bottom priority with the least policy</w:t>
      </w:r>
      <w:r>
        <w:t>.</w:t>
      </w:r>
      <w:r>
        <w:rPr>
          <w:color w:val="4B5563"/>
          <w:vertAlign w:val="superscript"/>
        </w:rPr>
        <w:t>1,7</w:t>
      </w:r>
    </w:p>
    <w:p>
      <w:r>
        <w:t xml:space="preserve">The Climate Action Tracker, an independent rating of climate action, rates the United Kingdom </w:t>
      </w:r>
      <w:r>
        <w:t>Insufficient</w:t>
      </w:r>
      <w:r>
        <w:t xml:space="preserve"> overall (</w:t>
      </w:r>
      <w:r>
        <w:t>November 2024</w:t>
      </w:r>
      <w:r>
        <w:t xml:space="preserve">). The United Kingdom's </w:t>
      </w:r>
      <w:r>
        <w:t>454</w:t>
      </w:r>
      <w:r>
        <w:t xml:space="preserve"> International Energy Agency policy records include </w:t>
      </w:r>
      <w:r>
        <w:t>276</w:t>
      </w:r>
      <w:r>
        <w:t xml:space="preserve"> naming a technology.</w:t>
      </w:r>
      <w:r>
        <w:rPr>
          <w:color w:val="4B5563"/>
          <w:vertAlign w:val="superscript"/>
        </w:rPr>
        <w:t>7,8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rates partners for the United Kingdom as a reliable supplier (Friendshore), an export market (Partnership Opportunity) and, for middle- and lower-income partners, a development partner (Development Potential). It rates the </w:t>
      </w:r>
      <w:r>
        <w:t>United States</w:t>
      </w:r>
      <w:r>
        <w:t xml:space="preserve">, </w:t>
      </w:r>
      <w:r>
        <w:t>France</w:t>
      </w:r>
      <w:r>
        <w:t xml:space="preserve">, </w:t>
      </w:r>
      <w:r>
        <w:t>Germany</w:t>
      </w:r>
      <w:r>
        <w:t xml:space="preserve">, the </w:t>
      </w:r>
      <w:r>
        <w:t>Netherlands</w:t>
      </w:r>
      <w:r>
        <w:t xml:space="preserve"> and </w:t>
      </w:r>
      <w:r>
        <w:t>Canada</w:t>
      </w:r>
      <w:r>
        <w:t xml:space="preserve"> highest, ranked </w:t>
      </w:r>
      <w:r>
        <w:t>1st</w:t>
      </w:r>
      <w:r>
        <w:t xml:space="preserve"> to </w:t>
      </w:r>
      <w:r>
        <w:t>5th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 </w:t>
      </w:r>
      <w:r>
        <w:t>United States</w:t>
      </w:r>
      <w:r>
        <w:t xml:space="preserve">, </w:t>
      </w:r>
      <w:r>
        <w:t>France</w:t>
      </w:r>
      <w:r>
        <w:t xml:space="preserve"> and </w:t>
      </w:r>
      <w:r>
        <w:t>Germany</w:t>
      </w:r>
      <w:r>
        <w:t xml:space="preserve"> rank best as a </w:t>
      </w:r>
      <w:r>
        <w:t>reliable supplier</w:t>
      </w:r>
      <w:r>
        <w:t xml:space="preserve">; the </w:t>
      </w:r>
      <w:r>
        <w:t>Netherlands</w:t>
      </w:r>
      <w:r>
        <w:t xml:space="preserve"> and </w:t>
      </w:r>
      <w:r>
        <w:t>Canada</w:t>
      </w:r>
      <w:r>
        <w:t xml:space="preserve"> as an </w:t>
      </w:r>
      <w:r>
        <w:t>export market</w:t>
      </w:r>
      <w:r>
        <w:t xml:space="preserve">. As a supplier, the </w:t>
      </w:r>
      <w:r>
        <w:t>United States</w:t>
      </w:r>
      <w:r>
        <w:t xml:space="preserve"> scores best in </w:t>
      </w:r>
      <w:r>
        <w:t>downstream gas, upstream nuclear, downstream coal, downstream solar and downstream oil</w:t>
      </w:r>
      <w:r>
        <w:t>: the United Kingdom's lowest Energy Security sectors.</w:t>
      </w:r>
      <w:r>
        <w:rPr>
          <w:color w:val="4B5563"/>
          <w:vertAlign w:val="superscript"/>
        </w:rPr>
        <w:t>1</w:t>
      </w:r>
    </w:p>
    <w:p>
      <w:r>
        <w:t xml:space="preserve">The index and today's trade largely agree. On average across its energy-goods baskets in </w:t>
      </w:r>
      <w:r>
        <w:t>2024</w:t>
      </w:r>
      <w:r>
        <w:t xml:space="preserve">, the </w:t>
      </w:r>
      <w:r>
        <w:t>United States</w:t>
      </w:r>
      <w:r>
        <w:t xml:space="preserve"> is its </w:t>
      </w:r>
      <w:r>
        <w:t>1st</w:t>
      </w:r>
      <w:r>
        <w:t xml:space="preserve"> trade partner, </w:t>
      </w:r>
      <w:r>
        <w:t>Germany</w:t>
      </w:r>
      <w:r>
        <w:t xml:space="preserve"> its </w:t>
      </w:r>
      <w:r>
        <w:t>2nd</w:t>
      </w:r>
      <w:r>
        <w:t xml:space="preserve">, </w:t>
      </w:r>
      <w:r>
        <w:t>France</w:t>
      </w:r>
      <w:r>
        <w:t xml:space="preserve"> its </w:t>
      </w:r>
      <w:r>
        <w:t>4th</w:t>
      </w:r>
      <w:r>
        <w:t xml:space="preserve">, the </w:t>
      </w:r>
      <w:r>
        <w:t>Netherlands</w:t>
      </w:r>
      <w:r>
        <w:t xml:space="preserve"> its </w:t>
      </w:r>
      <w:r>
        <w:t>6th</w:t>
      </w:r>
      <w:r>
        <w:t xml:space="preserve"> and </w:t>
      </w:r>
      <w:r>
        <w:t>Canada</w:t>
      </w:r>
      <w:r>
        <w:t xml:space="preserve"> its </w:t>
      </w:r>
      <w:r>
        <w:t>8th</w:t>
      </w:r>
      <w:r>
        <w:t xml:space="preserve">. Each is </w:t>
      </w:r>
      <w:r>
        <w:t>a priority partner with strong ties today</w:t>
      </w:r>
      <w:r>
        <w:t xml:space="preserve">. The United Kingdom shares </w:t>
      </w:r>
      <w:r>
        <w:t>the G7, NATO and the Minerals Security Partnership</w:t>
      </w:r>
      <w:r>
        <w:t xml:space="preserve"> with the </w:t>
      </w:r>
      <w:r>
        <w:t>United States</w:t>
      </w:r>
      <w:r>
        <w:t xml:space="preserve">, and they vote in the </w:t>
      </w:r>
      <w:r>
        <w:t>same bloc</w:t>
      </w:r>
      <w:r>
        <w:t xml:space="preserve"> at the United Nations. An exception is </w:t>
      </w:r>
      <w:r>
        <w:t>China</w:t>
      </w:r>
      <w:r>
        <w:t xml:space="preserve">, its </w:t>
      </w:r>
      <w:r>
        <w:t>3rd</w:t>
      </w:r>
      <w:r>
        <w:t xml:space="preserve"> trade partner: </w:t>
      </w:r>
      <w:r>
        <w:t>a strong tie today that the index ranks lower</w:t>
      </w:r>
      <w:r>
        <w:t xml:space="preserve"> (</w:t>
      </w:r>
      <w:r>
        <w:t>48th</w:t>
      </w:r>
      <w:r>
        <w:t xml:space="preserve">), and they vote in </w:t>
      </w:r>
      <w:r>
        <w:t>opposite blocs</w:t>
      </w:r>
      <w:r>
        <w:t xml:space="preserve"> at the United Nations.</w:t>
      </w:r>
      <w:r>
        <w:rPr>
          <w:color w:val="4B5563"/>
          <w:vertAlign w:val="superscript"/>
        </w:rPr>
        <w:t>1,2,9,10</w:t>
      </w:r>
    </w:p>
    <w:p>
      <w:r>
        <w:t xml:space="preserve">As a partner to the coalition, the United Kingdom itself ranks </w:t>
      </w:r>
      <w:r>
        <w:t>4th</w:t>
      </w:r>
      <w:r>
        <w:t xml:space="preserve"> of </w:t>
      </w:r>
      <w:r>
        <w:t>192</w:t>
      </w:r>
      <w:r>
        <w:t xml:space="preserve"> economies. In the allied network design, it holds </w:t>
      </w:r>
      <w:r>
        <w:t>11.5%</w:t>
      </w:r>
      <w:r>
        <w:t xml:space="preserve"> of the coalition's designed production in </w:t>
      </w:r>
      <w:r>
        <w:t>upstream solar</w:t>
      </w:r>
      <w:r>
        <w:t xml:space="preserve">, and </w:t>
      </w:r>
      <w:r>
        <w:t>5.0%</w:t>
      </w:r>
      <w:r>
        <w:t xml:space="preserve"> in </w:t>
      </w:r>
      <w:r>
        <w:t>midstream batteries</w:t>
      </w:r>
      <w:r>
        <w:t>, its allied pick.</w:t>
      </w:r>
      <w:r>
        <w:rPr>
          <w:color w:val="4B5563"/>
          <w:vertAlign w:val="superscript"/>
        </w:rPr>
        <w:t>1,6</w:t>
      </w:r>
    </w:p>
    <w:p>
      <w:pPr>
        <w:pStyle w:val="Heading1"/>
      </w:pPr>
      <w:r>
        <w:t>5. Data notes and caveats</w:t>
      </w:r>
    </w:p>
    <w:p>
      <w:r>
        <w:t xml:space="preserve">Baseline as of </w:t>
      </w:r>
      <w:r>
        <w:t>12 October 2026</w:t>
      </w:r>
      <w:r>
        <w:t xml:space="preserve">; details on the Country Insights page. </w:t>
      </w:r>
      <w:r>
        <w:t>Scores compare the United Kingdom with other economies in the same sector; they are not measures of risk or profit in absolute terms.</w:t>
      </w:r>
      <w:r>
        <w:t xml:space="preserve"> </w:t>
      </w:r>
      <w:r>
        <w:t>All index values are the paper's baseline as of 12 October 2026; Strategic Insights recomputes them under other weightings.</w:t>
      </w:r>
      <w:r>
        <w:t xml:space="preserve"> </w:t>
      </w:r>
      <w:r>
        <w:t>Some figures behind these scores are filled in where the source has no value: with zero where a source lists every holder, otherwise with the world average.</w:t>
      </w:r>
      <w:r>
        <w:t xml:space="preserve"> </w:t>
      </w:r>
      <w:r>
        <w:t>Strategic Index scores within 0.01 of each other are almost tied: small changes in the data or the weights can swap their order.</w:t>
      </w:r>
      <w:r>
        <w:t xml:space="preserve"> </w:t>
      </w:r>
      <w:r>
        <w:t>Where the United Kingdom or a partner did not report a flow, it is read from the other side's report, raised by 6% to value it like imports.</w:t>
      </w:r>
      <w:r>
        <w:t xml:space="preserve"> </w:t>
      </w:r>
      <w:r>
        <w:t>Many allied picks are close calls: in the paper, 37% of them are within 0.01 of the runner-up.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United Kingdom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Kingdom: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GBR</cp:keywords>
  <dc:description>paper baseline as of 12 October 2026; fact sheet sha256 a1fa710678797fd2409dc3161bdbd715022650c42f573bdf1e78d70bafc35c3d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