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Greece: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Greece</w:t>
            </w:r>
            <w:r>
              <w:t xml:space="preserve">'s lowest Energy Security percentiles are in </w:t>
            </w:r>
            <w:r>
              <w:t>upstream gas</w:t>
            </w:r>
            <w:r>
              <w:t xml:space="preserve">, </w:t>
            </w:r>
            <w:r>
              <w:t>upstream electric vehicles</w:t>
            </w:r>
            <w:r>
              <w:t xml:space="preserve"> and </w:t>
            </w:r>
            <w:r>
              <w:t>upstream batteries</w:t>
            </w:r>
            <w:r>
              <w:t xml:space="preserve">, higher than only </w:t>
            </w:r>
            <w:r>
              <w:t>9%</w:t>
            </w:r>
            <w:r>
              <w:t xml:space="preserve">, </w:t>
            </w:r>
            <w:r>
              <w:t>20%</w:t>
            </w:r>
            <w:r>
              <w:t xml:space="preserve"> and </w:t>
            </w:r>
            <w:r>
              <w:t>21%</w:t>
            </w:r>
            <w:r>
              <w:t xml:space="preserve"> of the other economies scored. Import needs and unrecorded reserves pull gas down; weak trade, notably small mineral exports, pulls the others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highest Economic Opportunity percentiles are in </w:t>
            </w:r>
            <w:r>
              <w:t>downstream solar</w:t>
            </w:r>
            <w:r>
              <w:t xml:space="preserve">, </w:t>
            </w:r>
            <w:r>
              <w:t>midstream oil</w:t>
            </w:r>
            <w:r>
              <w:t xml:space="preserve"> and </w:t>
            </w:r>
            <w:r>
              <w:t>midstream gas</w:t>
            </w:r>
            <w:r>
              <w:t xml:space="preserve">, higher than </w:t>
            </w:r>
            <w:r>
              <w:t>89%</w:t>
            </w:r>
            <w:r>
              <w:t xml:space="preserve">, </w:t>
            </w:r>
            <w:r>
              <w:t>85%</w:t>
            </w:r>
            <w:r>
              <w:t xml:space="preserve"> and </w:t>
            </w:r>
            <w:r>
              <w:t>82%</w:t>
            </w:r>
            <w:r>
              <w:t xml:space="preserve"> of the other economies scored. Investment and production push up solar; exports push up oil and gas.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the Strategic Index ranks </w:t>
            </w:r>
            <w:r>
              <w:t>upstream batteries</w:t>
            </w:r>
            <w:r>
              <w:t xml:space="preserve"> </w:t>
            </w:r>
            <w:r>
              <w:t>1st</w:t>
            </w:r>
            <w:r>
              <w:t xml:space="preserve"> and </w:t>
            </w:r>
            <w:r>
              <w:t>upstream wind</w:t>
            </w:r>
            <w:r>
              <w:t xml:space="preserve"> </w:t>
            </w:r>
            <w:r>
              <w:t>2nd</w:t>
            </w:r>
            <w:r>
              <w:t xml:space="preserve"> among </w:t>
            </w:r>
            <w:r>
              <w:t>Greece</w:t>
            </w:r>
            <w:r>
              <w:t xml:space="preserve">'s own sectors. Policy activity ranks them </w:t>
            </w:r>
            <w:r>
              <w:t>7th</w:t>
            </w:r>
            <w:r>
              <w:t xml:space="preserve"> and </w:t>
            </w:r>
            <w:r>
              <w:t>9th</w:t>
            </w:r>
            <w:r>
              <w:t>.</w:t>
            </w:r>
            <w:r>
              <w:rPr>
                <w:color w:val="4B5563"/>
                <w:vertAlign w:val="superscript"/>
              </w:rPr>
              <w:t>1,2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United Kingdom</w:t>
            </w:r>
            <w:r>
              <w:t xml:space="preserve"> highest for </w:t>
            </w:r>
            <w:r>
              <w:t>Greece</w:t>
            </w:r>
            <w:r>
              <w:t xml:space="preserve">, as a </w:t>
            </w:r>
            <w:r>
              <w:t>reliable supplier</w:t>
            </w:r>
            <w:r>
              <w:t xml:space="preserve">, though only its </w:t>
            </w:r>
            <w:r>
              <w:t>7th</w:t>
            </w:r>
            <w:r>
              <w:t xml:space="preserve"> trade partner. </w:t>
            </w:r>
            <w:r>
              <w:t>China</w:t>
            </w:r>
            <w:r>
              <w:t xml:space="preserve">, its </w:t>
            </w:r>
            <w:r>
              <w:t>2nd</w:t>
            </w:r>
            <w:r>
              <w:t xml:space="preserve"> trade partner, ranks only </w:t>
            </w:r>
            <w:r>
              <w:t>44th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1,3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14</w:t>
      </w:r>
      <w:r>
        <w:t xml:space="preserve"> of </w:t>
      </w:r>
      <w:r>
        <w:t>Greece</w:t>
      </w:r>
      <w:r>
        <w:t xml:space="preserve">'s </w:t>
      </w:r>
      <w:r>
        <w:t>30</w:t>
      </w:r>
      <w:r>
        <w:t xml:space="preserve"> placed sectors sit in the two low-energy-security corners, below the middle economy of their sector on Energy Security, which measures how well a country can rely on what it needs. Its lowest Energy Security percentiles are in </w:t>
      </w:r>
      <w:r>
        <w:t>upstream gas</w:t>
      </w:r>
      <w:r>
        <w:t xml:space="preserve"> (score </w:t>
      </w:r>
      <w:r>
        <w:t>0.26</w:t>
      </w:r>
      <w:r>
        <w:t xml:space="preserve">, </w:t>
      </w:r>
      <w:r>
        <w:t>Secure</w:t>
      </w:r>
      <w:r>
        <w:t xml:space="preserve"> corner), </w:t>
      </w:r>
      <w:r>
        <w:t>upstream electric vehicles</w:t>
      </w:r>
      <w:r>
        <w:t xml:space="preserve"> (</w:t>
      </w:r>
      <w:r>
        <w:t>0.18</w:t>
      </w:r>
      <w:r>
        <w:t xml:space="preserve">, </w:t>
      </w:r>
      <w:r>
        <w:t>Upgrade</w:t>
      </w:r>
      <w:r>
        <w:t xml:space="preserve"> corner) and </w:t>
      </w:r>
      <w:r>
        <w:t>upstream batteries</w:t>
      </w:r>
      <w:r>
        <w:t xml:space="preserve"> (</w:t>
      </w:r>
      <w:r>
        <w:t>0.19</w:t>
      </w:r>
      <w:r>
        <w:t xml:space="preserve">, </w:t>
      </w:r>
      <w:r>
        <w:t>Secure</w:t>
      </w:r>
      <w:r>
        <w:t xml:space="preserve"> corner). There it scores higher than only </w:t>
      </w:r>
      <w:r>
        <w:t>9%</w:t>
      </w:r>
      <w:r>
        <w:t xml:space="preserve">, </w:t>
      </w:r>
      <w:r>
        <w:t>20%</w:t>
      </w:r>
      <w:r>
        <w:t xml:space="preserve"> and </w:t>
      </w:r>
      <w:r>
        <w:t>21%</w:t>
      </w:r>
      <w:r>
        <w:t xml:space="preserve"> of the other economies scored.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upstream gas</w:t>
      </w:r>
      <w:r>
        <w:t xml:space="preserve"> the score is low mainly because of the </w:t>
      </w:r>
      <w:r>
        <w:t>energy imports</w:t>
      </w:r>
      <w:r>
        <w:t xml:space="preserve"> and </w:t>
      </w:r>
      <w:r>
        <w:t>reserves</w:t>
      </w:r>
      <w:r>
        <w:t xml:space="preserve"> categories. Production minus consumption was </w:t>
      </w:r>
      <w:r>
        <w:t>-0.256 EJ</w:t>
      </w:r>
      <w:r>
        <w:t xml:space="preserve"> in </w:t>
      </w:r>
      <w:r>
        <w:t>2025</w:t>
      </w:r>
      <w:r>
        <w:t xml:space="preserve">; the figure takes </w:t>
      </w:r>
      <w:r>
        <w:t>production from the U.S. Energy Information Administration's international statistics, as the Energy Institute does not report it separately</w:t>
      </w:r>
      <w:r>
        <w:t xml:space="preserve">. No gas reserves are recorded, which the index counts as zero. For context, its largest suppliers in </w:t>
      </w:r>
      <w:r>
        <w:t>2024</w:t>
      </w:r>
      <w:r>
        <w:t xml:space="preserve"> were </w:t>
      </w:r>
      <w:r>
        <w:t>Russia</w:t>
      </w:r>
      <w:r>
        <w:t xml:space="preserve"> (</w:t>
      </w:r>
      <w:r>
        <w:t>45.5%</w:t>
      </w:r>
      <w:r>
        <w:t xml:space="preserve"> of imports), the </w:t>
      </w:r>
      <w:r>
        <w:t>United States</w:t>
      </w:r>
      <w:r>
        <w:t xml:space="preserve"> (</w:t>
      </w:r>
      <w:r>
        <w:t>26.5%</w:t>
      </w:r>
      <w:r>
        <w:t xml:space="preserve">) and </w:t>
      </w:r>
      <w:r>
        <w:t>Azerbaijan</w:t>
      </w:r>
      <w:r>
        <w:t xml:space="preserve"> (</w:t>
      </w:r>
      <w:r>
        <w:t>18.3%</w:t>
      </w:r>
      <w:r>
        <w:t>).</w:t>
      </w:r>
      <w:r>
        <w:rPr>
          <w:color w:val="4B5563"/>
          <w:vertAlign w:val="superscript"/>
        </w:rPr>
        <w:t>3,4,5</w:t>
      </w:r>
    </w:p>
    <w:p>
      <w:r>
        <w:t xml:space="preserve">In </w:t>
      </w:r>
      <w:r>
        <w:t>upstream electric vehicles</w:t>
      </w:r>
      <w:r>
        <w:t xml:space="preserve"> and </w:t>
      </w:r>
      <w:r>
        <w:t>upstream batteries</w:t>
      </w:r>
      <w:r>
        <w:t xml:space="preserve">, the </w:t>
      </w:r>
      <w:r>
        <w:t>trade</w:t>
      </w:r>
      <w:r>
        <w:t xml:space="preserve"> and </w:t>
      </w:r>
      <w:r>
        <w:t>minerals trade</w:t>
      </w:r>
      <w:r>
        <w:t xml:space="preserve"> categories pull the score down. </w:t>
      </w:r>
      <w:r>
        <w:t>Greece</w:t>
      </w:r>
      <w:r>
        <w:t xml:space="preserve">'s share of world exports of the minerals these technologies use was </w:t>
      </w:r>
      <w:r>
        <w:t>&lt;0.1%</w:t>
      </w:r>
      <w:r>
        <w:t xml:space="preserve"> in </w:t>
      </w:r>
      <w:r>
        <w:t>2024</w:t>
      </w:r>
      <w:r>
        <w:t xml:space="preserve">. On that measure it scores higher than </w:t>
      </w:r>
      <w:r>
        <w:t>37%</w:t>
      </w:r>
      <w:r>
        <w:t xml:space="preserve"> and </w:t>
      </w:r>
      <w:r>
        <w:t>26%</w:t>
      </w:r>
      <w:r>
        <w:t xml:space="preserve"> of the other economies. For context, </w:t>
      </w:r>
      <w:r>
        <w:t>Gabon</w:t>
      </w:r>
      <w:r>
        <w:t xml:space="preserve"> supplied </w:t>
      </w:r>
      <w:r>
        <w:t>74.5%</w:t>
      </w:r>
      <w:r>
        <w:t xml:space="preserve"> and </w:t>
      </w:r>
      <w:r>
        <w:t>73.5%</w:t>
      </w:r>
      <w:r>
        <w:t xml:space="preserve"> of its imports in these baskets.</w:t>
      </w:r>
      <w:r>
        <w:rPr>
          <w:color w:val="4B5563"/>
          <w:vertAlign w:val="superscript"/>
        </w:rPr>
        <w:t>1,3,6</w:t>
      </w:r>
    </w:p>
    <w:p>
      <w:r>
        <w:t xml:space="preserve">Its high-priority sectors, </w:t>
      </w:r>
      <w:r>
        <w:t>upstream electric grid, upstream green hydrogen and midstream solar</w:t>
      </w:r>
      <w:r>
        <w:t xml:space="preserve">, sit in the </w:t>
      </w:r>
      <w:r>
        <w:t>Upgrade</w:t>
      </w:r>
      <w:r>
        <w:t xml:space="preserve"> corner, which pairs high opportunity with low energy security. In </w:t>
      </w:r>
      <w:r>
        <w:t>upstream electric grid</w:t>
      </w:r>
      <w:r>
        <w:t xml:space="preserve"> the score is held down mainly by the </w:t>
      </w:r>
      <w:r>
        <w:t>trade</w:t>
      </w:r>
      <w:r>
        <w:t xml:space="preserve"> category: its trade deficit in these goods was </w:t>
      </w:r>
      <w:r>
        <w:t>0.4% of GDP</w:t>
      </w:r>
      <w:r>
        <w:t xml:space="preserve"> in </w:t>
      </w:r>
      <w:r>
        <w:t>2023</w:t>
      </w:r>
      <w:r>
        <w:t xml:space="preserve">. In </w:t>
      </w:r>
      <w:r>
        <w:t>midstream solar</w:t>
      </w:r>
      <w:r>
        <w:t xml:space="preserve"> its Energy Security of </w:t>
      </w:r>
      <w:r>
        <w:t>0.34</w:t>
      </w:r>
      <w:r>
        <w:t xml:space="preserve"> sits just under the sector median of </w:t>
      </w:r>
      <w:r>
        <w:t>0.35</w:t>
      </w:r>
      <w:r>
        <w:t xml:space="preserve">. For context, </w:t>
      </w:r>
      <w:r>
        <w:t>China</w:t>
      </w:r>
      <w:r>
        <w:t xml:space="preserve"> supplied </w:t>
      </w:r>
      <w:r>
        <w:t>50.4%</w:t>
      </w:r>
      <w:r>
        <w:t xml:space="preserve"> of its imports there in </w:t>
      </w:r>
      <w:r>
        <w:t>2024</w:t>
      </w:r>
      <w:r>
        <w:t>.</w:t>
      </w:r>
      <w:r>
        <w:rPr>
          <w:color w:val="4B5563"/>
          <w:vertAlign w:val="superscript"/>
        </w:rPr>
        <w:t>1,3,7</w:t>
      </w:r>
    </w:p>
    <w:p>
      <w:pPr>
        <w:pStyle w:val="Heading1"/>
      </w:pPr>
      <w:r>
        <w:t>2. Economic opportunities and why</w:t>
      </w:r>
    </w:p>
    <w:p>
      <w:r>
        <w:t>20</w:t>
      </w:r>
      <w:r>
        <w:t xml:space="preserve"> of its </w:t>
      </w:r>
      <w:r>
        <w:t>30</w:t>
      </w:r>
      <w:r>
        <w:t xml:space="preserve"> placed sectors sit in the two high-opportunity corners, above the middle economy of their sector on Economic Opportunity, which measures how well placed a country is to create value. Its highest Economic Opportunity percentiles are in </w:t>
      </w:r>
      <w:r>
        <w:t>downstream solar</w:t>
      </w:r>
      <w:r>
        <w:t xml:space="preserve"> (</w:t>
      </w:r>
      <w:r>
        <w:t>0.61</w:t>
      </w:r>
      <w:r>
        <w:t xml:space="preserve">), </w:t>
      </w:r>
      <w:r>
        <w:t>midstream oil</w:t>
      </w:r>
      <w:r>
        <w:t xml:space="preserve"> (</w:t>
      </w:r>
      <w:r>
        <w:t>0.63</w:t>
      </w:r>
      <w:r>
        <w:t xml:space="preserve">) and </w:t>
      </w:r>
      <w:r>
        <w:t>midstream gas</w:t>
      </w:r>
      <w:r>
        <w:t xml:space="preserve"> (</w:t>
      </w:r>
      <w:r>
        <w:t>0.60</w:t>
      </w:r>
      <w:r>
        <w:t xml:space="preserve">). There it scores higher than </w:t>
      </w:r>
      <w:r>
        <w:t>89%</w:t>
      </w:r>
      <w:r>
        <w:t xml:space="preserve">, </w:t>
      </w:r>
      <w:r>
        <w:t>85%</w:t>
      </w:r>
      <w:r>
        <w:t xml:space="preserve"> and </w:t>
      </w:r>
      <w:r>
        <w:t>82%</w:t>
      </w:r>
      <w:r>
        <w:t xml:space="preserve"> of the other economies scored. Each sits in the </w:t>
      </w:r>
      <w:r>
        <w:t>Grow</w:t>
      </w:r>
      <w:r>
        <w:t xml:space="preserve"> corner, which the framework associates with building on strength through export promotion.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solar</w:t>
      </w:r>
      <w:r>
        <w:t xml:space="preserve"> the </w:t>
      </w:r>
      <w:r>
        <w:t>investment</w:t>
      </w:r>
      <w:r>
        <w:t xml:space="preserve"> and </w:t>
      </w:r>
      <w:r>
        <w:t>production</w:t>
      </w:r>
      <w:r>
        <w:t xml:space="preserve"> categories push the score up. On annual investment it scores higher than </w:t>
      </w:r>
      <w:r>
        <w:t>88%</w:t>
      </w:r>
      <w:r>
        <w:t xml:space="preserve"> of the other economies, and solar power production reached </w:t>
      </w:r>
      <w:r>
        <w:t>10.4 TWh</w:t>
      </w:r>
      <w:r>
        <w:t xml:space="preserve"> in </w:t>
      </w:r>
      <w:r>
        <w:t>2025</w:t>
      </w:r>
      <w:r>
        <w:t>.</w:t>
      </w:r>
      <w:r>
        <w:rPr>
          <w:color w:val="4B5563"/>
          <w:vertAlign w:val="superscript"/>
        </w:rPr>
        <w:t>1,4</w:t>
      </w:r>
    </w:p>
    <w:p>
      <w:r>
        <w:t xml:space="preserve">In the midstream sectors, the </w:t>
      </w:r>
      <w:r>
        <w:t>trade</w:t>
      </w:r>
      <w:r>
        <w:t xml:space="preserve"> and </w:t>
      </w:r>
      <w:r>
        <w:t>cost competitiveness</w:t>
      </w:r>
      <w:r>
        <w:t xml:space="preserve"> categories push the scores up. Its revealed comparative advantage was </w:t>
      </w:r>
      <w:r>
        <w:t>1.73</w:t>
      </w:r>
      <w:r>
        <w:t xml:space="preserve"> in </w:t>
      </w:r>
      <w:r>
        <w:t>midstream oil</w:t>
      </w:r>
      <w:r>
        <w:t xml:space="preserve"> and </w:t>
      </w:r>
      <w:r>
        <w:t>1.47</w:t>
      </w:r>
      <w:r>
        <w:t xml:space="preserve"> in </w:t>
      </w:r>
      <w:r>
        <w:t>midstream gas</w:t>
      </w:r>
      <w:r>
        <w:t xml:space="preserve"> in </w:t>
      </w:r>
      <w:r>
        <w:t>2024</w:t>
      </w:r>
      <w:r>
        <w:t xml:space="preserve">. For context, its largest market for both baskets in </w:t>
      </w:r>
      <w:r>
        <w:t>2024</w:t>
      </w:r>
      <w:r>
        <w:t xml:space="preserve"> was </w:t>
      </w:r>
      <w:r>
        <w:t>Israel</w:t>
      </w:r>
      <w:r>
        <w:t xml:space="preserve"> (</w:t>
      </w:r>
      <w:r>
        <w:t>39.8%</w:t>
      </w:r>
      <w:r>
        <w:t xml:space="preserve"> and </w:t>
      </w:r>
      <w:r>
        <w:t>40.0%</w:t>
      </w:r>
      <w:r>
        <w:t xml:space="preserve">), followed by </w:t>
      </w:r>
      <w:r>
        <w:t>Italy</w:t>
      </w:r>
      <w:r>
        <w:t>.</w:t>
      </w:r>
      <w:r>
        <w:rPr>
          <w:color w:val="4B5563"/>
          <w:vertAlign w:val="superscript"/>
        </w:rPr>
        <w:t>3,8</w:t>
      </w:r>
    </w:p>
    <w:p>
      <w:r>
        <w:t xml:space="preserve">In </w:t>
      </w:r>
      <w:r>
        <w:t>upstream electric grid</w:t>
      </w:r>
      <w:r>
        <w:t xml:space="preserve">, a high-priority sector, its Economic Opportunity is higher than </w:t>
      </w:r>
      <w:r>
        <w:t>71%</w:t>
      </w:r>
      <w:r>
        <w:t xml:space="preserve"> of the other economies scored.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On the paper's weighting, it ranks </w:t>
      </w:r>
      <w:r>
        <w:t>upstream batteries</w:t>
      </w:r>
      <w:r>
        <w:t xml:space="preserve"> </w:t>
      </w:r>
      <w:r>
        <w:t>1st</w:t>
      </w:r>
      <w:r>
        <w:t xml:space="preserve"> among </w:t>
      </w:r>
      <w:r>
        <w:t>Greece</w:t>
      </w:r>
      <w:r>
        <w:t xml:space="preserve">'s own sectors, at </w:t>
      </w:r>
      <w:r>
        <w:t>0.66</w:t>
      </w:r>
      <w:r>
        <w:t xml:space="preserve">, </w:t>
      </w:r>
      <w:r>
        <w:t>0.013</w:t>
      </w:r>
      <w:r>
        <w:t xml:space="preserve"> ahead of the next. Security need, which rises as Energy Security falls, contributes the most: </w:t>
      </w:r>
      <w:r>
        <w:t>0.244</w:t>
      </w:r>
      <w:r>
        <w:t xml:space="preserve">. Next come </w:t>
      </w:r>
      <w:r>
        <w:t>upstream wind</w:t>
      </w:r>
      <w:r>
        <w:t xml:space="preserve"> (</w:t>
      </w:r>
      <w:r>
        <w:t>2nd</w:t>
      </w:r>
      <w:r>
        <w:t xml:space="preserve">), </w:t>
      </w:r>
      <w:r>
        <w:t>upstream nuclear</w:t>
      </w:r>
      <w:r>
        <w:t xml:space="preserve"> (</w:t>
      </w:r>
      <w:r>
        <w:t>3rd</w:t>
      </w:r>
      <w:r>
        <w:t xml:space="preserve">), </w:t>
      </w:r>
      <w:r>
        <w:t>upstream solar</w:t>
      </w:r>
      <w:r>
        <w:t xml:space="preserve"> (</w:t>
      </w:r>
      <w:r>
        <w:t>4th</w:t>
      </w:r>
      <w:r>
        <w:t xml:space="preserve">) and </w:t>
      </w:r>
      <w:r>
        <w:t>upstream electric grid</w:t>
      </w:r>
      <w:r>
        <w:t xml:space="preserve"> (</w:t>
      </w:r>
      <w:r>
        <w:t>5th</w:t>
      </w:r>
      <w:r>
        <w:t xml:space="preserve">), each almost tied with the sector below it, by </w:t>
      </w:r>
      <w:r>
        <w:t>0.003</w:t>
      </w:r>
      <w:r>
        <w:t xml:space="preserve">, </w:t>
      </w:r>
      <w:r>
        <w:t>0.001</w:t>
      </w:r>
      <w:r>
        <w:t xml:space="preserve">, </w:t>
      </w:r>
      <w:r>
        <w:t>0.003</w:t>
      </w:r>
      <w:r>
        <w:t xml:space="preserve"> and </w:t>
      </w:r>
      <w:r>
        <w:t>0.005</w:t>
      </w:r>
      <w:r>
        <w:t xml:space="preserve">. Policy activity lifts </w:t>
      </w:r>
      <w:r>
        <w:t>downstream solar</w:t>
      </w:r>
      <w:r>
        <w:t xml:space="preserve"> to </w:t>
      </w:r>
      <w:r>
        <w:t>6th</w:t>
      </w:r>
      <w:r>
        <w:t xml:space="preserve">: it ranks </w:t>
      </w:r>
      <w:r>
        <w:t>1st</w:t>
      </w:r>
      <w:r>
        <w:t xml:space="preserve"> on policy but </w:t>
      </w:r>
      <w:r>
        <w:t>19th</w:t>
      </w:r>
      <w:r>
        <w:t xml:space="preserve"> on priority, the Strategic Index without its policy term.</w:t>
      </w:r>
      <w:r>
        <w:rPr>
          <w:color w:val="4B5563"/>
          <w:vertAlign w:val="superscript"/>
        </w:rPr>
        <w:t>1,2</w:t>
      </w:r>
    </w:p>
    <w:p>
      <w:r>
        <w:t>Greece</w:t>
      </w:r>
      <w:r>
        <w:t xml:space="preserve">'s allied pick, its top upstream or midstream sector after a resource screen, is </w:t>
      </w:r>
      <w:r>
        <w:t>upstream nuclear</w:t>
      </w:r>
      <w:r>
        <w:t xml:space="preserve">, </w:t>
      </w:r>
      <w:r>
        <w:t>0.025</w:t>
      </w:r>
      <w:r>
        <w:t xml:space="preserve"> ahead of </w:t>
      </w:r>
      <w:r>
        <w:t>midstream batteries</w:t>
      </w:r>
      <w:r>
        <w:t xml:space="preserve">. The higher-ranked </w:t>
      </w:r>
      <w:r>
        <w:t>upstream batteries</w:t>
      </w:r>
      <w:r>
        <w:t xml:space="preserve"> and </w:t>
      </w:r>
      <w:r>
        <w:t>upstream wind</w:t>
      </w:r>
      <w:r>
        <w:t xml:space="preserve"> are screened out: the data record no resource base for them.</w:t>
      </w:r>
      <w:r>
        <w:rPr>
          <w:color w:val="4B5563"/>
          <w:vertAlign w:val="superscript"/>
        </w:rPr>
        <w:t>9</w:t>
      </w:r>
    </w:p>
    <w:p>
      <w:r>
        <w:t xml:space="preserve">Policy activity counts International Energy Agency policy records and the Climate Action Tracker rating, which favours low-emission technologies over coal, oil and gas. </w:t>
      </w:r>
      <w:r>
        <w:t>Greece</w:t>
      </w:r>
      <w:r>
        <w:t xml:space="preserve"> has </w:t>
      </w:r>
      <w:r>
        <w:t>134</w:t>
      </w:r>
      <w:r>
        <w:t xml:space="preserve"> such records, </w:t>
      </w:r>
      <w:r>
        <w:t>73</w:t>
      </w:r>
      <w:r>
        <w:t xml:space="preserve"> of which name a technology, and carries the European Union's Climate Action Tracker rating, </w:t>
      </w:r>
      <w:r>
        <w:t>Insufficient</w:t>
      </w:r>
      <w:r>
        <w:t xml:space="preserve">. Policy activity and priority broadly agree: no top priority has the least policy, and no bottom priority has the most. Top priority and the most policy coincide in </w:t>
      </w:r>
      <w:r>
        <w:t>upstream batteries, upstream wind, midstream batteries and midstream solar</w:t>
      </w:r>
      <w:r>
        <w:t xml:space="preserve">; bottom priority and the least policy in </w:t>
      </w:r>
      <w:r>
        <w:t>7</w:t>
      </w:r>
      <w:r>
        <w:t xml:space="preserve"> coal, oil and gas sectors. Among the top priorities, policy is weakest in </w:t>
      </w:r>
      <w:r>
        <w:t>midstream green hydrogen</w:t>
      </w:r>
      <w:r>
        <w:t xml:space="preserve"> and </w:t>
      </w:r>
      <w:r>
        <w:t>upstream green hydrogen</w:t>
      </w:r>
      <w:r>
        <w:t xml:space="preserve"> (</w:t>
      </w:r>
      <w:r>
        <w:t>top third</w:t>
      </w:r>
      <w:r>
        <w:t xml:space="preserve"> on priority, </w:t>
      </w:r>
      <w:r>
        <w:t>19th</w:t>
      </w:r>
      <w:r>
        <w:t xml:space="preserve"> and </w:t>
      </w:r>
      <w:r>
        <w:t>18th</w:t>
      </w:r>
      <w:r>
        <w:t xml:space="preserve"> on policy). For context, the Country Insights page lists the strongest active industrial-policy measures that Global Trade Alert records under </w:t>
      </w:r>
      <w:r>
        <w:t>Greece</w:t>
      </w:r>
      <w:r>
        <w:t>, including EU-wide ones; they do not count towards policy activity.</w:t>
      </w:r>
      <w:r>
        <w:rPr>
          <w:color w:val="4B5563"/>
          <w:vertAlign w:val="superscript"/>
        </w:rPr>
        <w:t>1,2,10</w:t>
      </w:r>
    </w:p>
    <w:p>
      <w:pPr>
        <w:pStyle w:val="Heading1"/>
      </w:pPr>
      <w:r>
        <w:t>4. Partnership priorities and why</w:t>
      </w:r>
    </w:p>
    <w:p>
      <w:r>
        <w:t xml:space="preserve">From </w:t>
      </w:r>
      <w:r>
        <w:t>Greece</w:t>
      </w:r>
      <w:r>
        <w:t xml:space="preserve">'s viewpoint, the Partnership Strength Index rates the </w:t>
      </w:r>
      <w:r>
        <w:t>United Kingdom</w:t>
      </w:r>
      <w:r>
        <w:t xml:space="preserve"> highest, as a </w:t>
      </w:r>
      <w:r>
        <w:t>reliable supplier</w:t>
      </w:r>
      <w:r>
        <w:t xml:space="preserve"> strongest in </w:t>
      </w:r>
      <w:r>
        <w:t>downstream geothermal, upstream electric vehicles, upstream wind, upstream solar and downstream batteries</w:t>
      </w:r>
      <w:r>
        <w:t xml:space="preserve">. The index combines how reliable a supplier a partner is (Friendshore), how good a market it is (Partnership Opportunity) and, for lower-income partners, Development Potential. </w:t>
      </w:r>
      <w:r>
        <w:t>Romania</w:t>
      </w:r>
      <w:r>
        <w:t xml:space="preserve"> ranks </w:t>
      </w:r>
      <w:r>
        <w:t>2nd</w:t>
      </w:r>
      <w:r>
        <w:t xml:space="preserve"> and </w:t>
      </w:r>
      <w:r>
        <w:t>Israel</w:t>
      </w:r>
      <w:r>
        <w:t xml:space="preserve"> </w:t>
      </w:r>
      <w:r>
        <w:t>3rd</w:t>
      </w:r>
      <w:r>
        <w:t xml:space="preserve">, both as an </w:t>
      </w:r>
      <w:r>
        <w:t>export market</w:t>
      </w:r>
      <w:r>
        <w:t xml:space="preserve">, followed by </w:t>
      </w:r>
      <w:r>
        <w:t>Italy</w:t>
      </w:r>
      <w:r>
        <w:t xml:space="preserve"> (</w:t>
      </w:r>
      <w:r>
        <w:t>4th</w:t>
      </w:r>
      <w:r>
        <w:t xml:space="preserve">, </w:t>
      </w:r>
      <w:r>
        <w:t>reliable supplier</w:t>
      </w:r>
      <w:r>
        <w:t xml:space="preserve">) and the </w:t>
      </w:r>
      <w:r>
        <w:t>Netherlands</w:t>
      </w:r>
      <w:r>
        <w:t xml:space="preserve"> (</w:t>
      </w:r>
      <w:r>
        <w:t>5th</w:t>
      </w:r>
      <w:r>
        <w:t xml:space="preserve">, </w:t>
      </w:r>
      <w:r>
        <w:t>reliable supplier</w:t>
      </w:r>
      <w:r>
        <w:t>).</w:t>
      </w:r>
      <w:r>
        <w:rPr>
          <w:color w:val="4B5563"/>
          <w:vertAlign w:val="superscript"/>
        </w:rPr>
        <w:t>1</w:t>
      </w:r>
    </w:p>
    <w:p>
      <w:r>
        <w:t xml:space="preserve">Today's ties match these ranks in part. </w:t>
      </w:r>
      <w:r>
        <w:t>Italy</w:t>
      </w:r>
      <w:r>
        <w:t xml:space="preserve">, the </w:t>
      </w:r>
      <w:r>
        <w:t>Netherlands</w:t>
      </w:r>
      <w:r>
        <w:t xml:space="preserve"> and </w:t>
      </w:r>
      <w:r>
        <w:t>Israel</w:t>
      </w:r>
      <w:r>
        <w:t xml:space="preserve"> are its </w:t>
      </w:r>
      <w:r>
        <w:t>3rd</w:t>
      </w:r>
      <w:r>
        <w:t xml:space="preserve">, </w:t>
      </w:r>
      <w:r>
        <w:t>4th</w:t>
      </w:r>
      <w:r>
        <w:t xml:space="preserve"> and </w:t>
      </w:r>
      <w:r>
        <w:t>5th</w:t>
      </w:r>
      <w:r>
        <w:t xml:space="preserve"> trade partners on average across its energy-goods baskets; the </w:t>
      </w:r>
      <w:r>
        <w:t>United Kingdom</w:t>
      </w:r>
      <w:r>
        <w:t xml:space="preserve"> and </w:t>
      </w:r>
      <w:r>
        <w:t>Romania</w:t>
      </w:r>
      <w:r>
        <w:t xml:space="preserve"> are its </w:t>
      </w:r>
      <w:r>
        <w:t>7th</w:t>
      </w:r>
      <w:r>
        <w:t xml:space="preserve"> and </w:t>
      </w:r>
      <w:r>
        <w:t>8th</w:t>
      </w:r>
      <w:r>
        <w:t xml:space="preserve">. </w:t>
      </w:r>
      <w:r>
        <w:t>Germany</w:t>
      </w:r>
      <w:r>
        <w:t xml:space="preserve">, its </w:t>
      </w:r>
      <w:r>
        <w:t>1st</w:t>
      </w:r>
      <w:r>
        <w:t xml:space="preserve"> trade partner, ranks </w:t>
      </w:r>
      <w:r>
        <w:t>8th</w:t>
      </w:r>
      <w:r>
        <w:t xml:space="preserve"> on Partnership Strength. The reverse case is </w:t>
      </w:r>
      <w:r>
        <w:t>China</w:t>
      </w:r>
      <w:r>
        <w:t xml:space="preserve">: its </w:t>
      </w:r>
      <w:r>
        <w:t>2nd</w:t>
      </w:r>
      <w:r>
        <w:t xml:space="preserve"> trade partner, it ranks </w:t>
      </w:r>
      <w:r>
        <w:t>44th</w:t>
      </w:r>
      <w:r>
        <w:t xml:space="preserve"> and rates best as a </w:t>
      </w:r>
      <w:r>
        <w:t>development partner</w:t>
      </w:r>
      <w:r>
        <w:t xml:space="preserve">. </w:t>
      </w:r>
      <w:r>
        <w:t>Turkiye</w:t>
      </w:r>
      <w:r>
        <w:t xml:space="preserve">, its </w:t>
      </w:r>
      <w:r>
        <w:t>6th</w:t>
      </w:r>
      <w:r>
        <w:t xml:space="preserve"> trade partner, likewise ranks only </w:t>
      </w:r>
      <w:r>
        <w:t>39th</w:t>
      </w:r>
      <w:r>
        <w:t xml:space="preserve">. </w:t>
      </w:r>
      <w:r>
        <w:t>China</w:t>
      </w:r>
      <w:r>
        <w:t xml:space="preserve"> shares none of </w:t>
      </w:r>
      <w:r>
        <w:t>Greece</w:t>
      </w:r>
      <w:r>
        <w:t xml:space="preserve">'s economic-security agreements, and their UN votes put them in </w:t>
      </w:r>
      <w:r>
        <w:t>opposite blocs</w:t>
      </w:r>
      <w:r>
        <w:t xml:space="preserve">. </w:t>
      </w:r>
      <w:r>
        <w:t>Turkiye</w:t>
      </w:r>
      <w:r>
        <w:t xml:space="preserve"> shares </w:t>
      </w:r>
      <w:r>
        <w:t>NATO</w:t>
      </w:r>
      <w:r>
        <w:t xml:space="preserve"> with </w:t>
      </w:r>
      <w:r>
        <w:t>Greece</w:t>
      </w:r>
      <w:r>
        <w:t xml:space="preserve"> but is </w:t>
      </w:r>
      <w:r>
        <w:t>nonaligned</w:t>
      </w:r>
      <w:r>
        <w:t xml:space="preserve"> in UN votes.</w:t>
      </w:r>
      <w:r>
        <w:rPr>
          <w:color w:val="4B5563"/>
          <w:vertAlign w:val="superscript"/>
        </w:rPr>
        <w:t>1,3,11,12</w:t>
      </w:r>
    </w:p>
    <w:p>
      <w:r>
        <w:t xml:space="preserve">As a partner to the coalition, </w:t>
      </w:r>
      <w:r>
        <w:t>Greece</w:t>
      </w:r>
      <w:r>
        <w:t xml:space="preserve"> ranks </w:t>
      </w:r>
      <w:r>
        <w:t>28th</w:t>
      </w:r>
      <w:r>
        <w:t xml:space="preserve"> of </w:t>
      </w:r>
      <w:r>
        <w:t>192</w:t>
      </w:r>
      <w:r>
        <w:t xml:space="preserve"> economies on Partnership Strength averaged over the core members' viewpoints. In the allied network design its shares are derived from the European Union's: they are largest in </w:t>
      </w:r>
      <w:r>
        <w:t>midstream green hydrogen</w:t>
      </w:r>
      <w:r>
        <w:t xml:space="preserve"> (</w:t>
      </w:r>
      <w:r>
        <w:t>0.3%</w:t>
      </w:r>
      <w:r>
        <w:t xml:space="preserve"> of designed coalition production) and </w:t>
      </w:r>
      <w:r>
        <w:t>midstream gas</w:t>
      </w:r>
      <w:r>
        <w:t xml:space="preserve"> (</w:t>
      </w:r>
      <w:r>
        <w:t>0.2%</w:t>
      </w:r>
      <w:r>
        <w:t>).</w:t>
      </w:r>
      <w:r>
        <w:rPr>
          <w:color w:val="4B5563"/>
          <w:vertAlign w:val="superscript"/>
        </w:rPr>
        <w:t>1,9</w:t>
      </w:r>
    </w:p>
    <w:p>
      <w:pPr>
        <w:pStyle w:val="Heading1"/>
      </w:pPr>
      <w:r>
        <w:t>5. Data notes and caveats</w:t>
      </w:r>
    </w:p>
    <w:p>
      <w:r>
        <w:t xml:space="preserve">Figures are as of </w:t>
      </w:r>
      <w:r>
        <w:t>12 October 2026</w:t>
      </w:r>
      <w:r>
        <w:t xml:space="preserve">. </w:t>
      </w:r>
      <w:r>
        <w:t>Scores compare Greece with other economies in the same sector; they are not measures of risk or profit in absolute terms.</w:t>
      </w:r>
      <w:r>
        <w:t xml:space="preserve"> </w:t>
      </w:r>
      <w:r>
        <w:t>All index values are the paper's baseline as of 12 October 2026; Strategic Insights recomputes them under other weightings.</w:t>
      </w:r>
      <w:r>
        <w:t xml:space="preserve"> </w:t>
      </w:r>
      <w:r>
        <w:t>Some figures behind these scores are filled in where the source has no value: with zero where a source lists every holder, otherwise with the world average.</w:t>
      </w:r>
      <w:r>
        <w:t xml:space="preserve"> </w:t>
      </w:r>
      <w:r>
        <w:t>Strategic Index scores within 0.01 of each other are almost tied: small changes in the data or the weights can swap their order.</w:t>
      </w:r>
      <w:r>
        <w:t xml:space="preserve"> </w:t>
      </w:r>
      <w:r>
        <w:t>Many allied picks are close calls: in the paper, 37% of them are within 0.01 of the runner-up.</w:t>
      </w:r>
      <w:r>
        <w:t xml:space="preserve"> </w:t>
      </w:r>
      <w:r>
        <w:t>In the allied network design the European Union is one producer; Greece's shares are derived from its weight within the EU.</w:t>
      </w:r>
      <w:r>
        <w:t xml:space="preserve"> </w:t>
      </w:r>
      <w:r>
        <w:t>The Climate Action Tracker rates the EU as a whole; Greece carries the EU's rating.</w:t>
      </w:r>
      <w:r>
        <w:t xml:space="preserve"> </w:t>
      </w:r>
      <w:r>
        <w:t>Greece's counts leave out the EU's own 438 International Energy Agency policy records.</w:t>
      </w:r>
      <w:r>
        <w:t xml:space="preserve"> </w:t>
      </w: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United Nations, UN Comtrade Database, critical-mineral HS codes, exports and imports by reporter, 2024 (2024 data);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Greece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Greece: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GRC</cp:keywords>
  <dc:description>paper baseline as of 12 October 2026; fact sheet sha256 d7b91ea708bc6646766ba0d441cc933139081f479d6803fa7863c36d6df2ae73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