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Croatia: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>Croatia</w:t>
            </w:r>
            <w:r>
              <w:t xml:space="preserve"> is most exposed in </w:t>
            </w:r>
            <w:r>
              <w:t>upstream coal</w:t>
            </w:r>
            <w:r>
              <w:t xml:space="preserve">, </w:t>
            </w:r>
            <w:r>
              <w:t>upstream electric grid</w:t>
            </w:r>
            <w:r>
              <w:t xml:space="preserve"> and </w:t>
            </w:r>
            <w:r>
              <w:t>downstream nuclear</w:t>
            </w:r>
            <w:r>
              <w:t xml:space="preserve">, with Energy Security higher than only </w:t>
            </w:r>
            <w:r>
              <w:t>12%</w:t>
            </w:r>
            <w:r>
              <w:t xml:space="preserve">, </w:t>
            </w:r>
            <w:r>
              <w:t>15%</w:t>
            </w:r>
            <w:r>
              <w:t xml:space="preserve"> and </w:t>
            </w:r>
            <w:r>
              <w:t>26%</w:t>
            </w:r>
            <w:r>
              <w:t xml:space="preserve"> of the other economies scored. In </w:t>
            </w:r>
            <w:r>
              <w:t>upstream electric grid</w:t>
            </w:r>
            <w:r>
              <w:t>, a trade deficit pulls the score down.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strongest openings are in </w:t>
            </w:r>
            <w:r>
              <w:t>upstream solar</w:t>
            </w:r>
            <w:r>
              <w:t xml:space="preserve">, </w:t>
            </w:r>
            <w:r>
              <w:t>midstream nuclear</w:t>
            </w:r>
            <w:r>
              <w:t xml:space="preserve"> and </w:t>
            </w:r>
            <w:r>
              <w:t>midstream coal</w:t>
            </w:r>
            <w:r>
              <w:t xml:space="preserve">, with Economic Opportunity higher than </w:t>
            </w:r>
            <w:r>
              <w:t>93%</w:t>
            </w:r>
            <w:r>
              <w:t xml:space="preserve">, </w:t>
            </w:r>
            <w:r>
              <w:t>88%</w:t>
            </w:r>
            <w:r>
              <w:t xml:space="preserve"> and </w:t>
            </w:r>
            <w:r>
              <w:t>87%</w:t>
            </w:r>
            <w:r>
              <w:t xml:space="preserve"> of the other economies scored, mainly through trade.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On the paper's weighting, its top Strategic Index sectors are </w:t>
            </w:r>
            <w:r>
              <w:t>upstream nuclear</w:t>
            </w:r>
            <w:r>
              <w:t xml:space="preserve">, </w:t>
            </w:r>
            <w:r>
              <w:t>downstream batteries</w:t>
            </w:r>
            <w:r>
              <w:t xml:space="preserve"> and </w:t>
            </w:r>
            <w:r>
              <w:t>upstream batteries</w:t>
            </w:r>
            <w:r>
              <w:t xml:space="preserve">, almost tied. In </w:t>
            </w:r>
            <w:r>
              <w:t>upstream batteries, midstream batteries, midstream electric grid and midstream solar</w:t>
            </w:r>
            <w:r>
              <w:t>, top priority meets the most policy.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The Partnership Strength Index rates </w:t>
            </w:r>
            <w:r>
              <w:t>Germany</w:t>
            </w:r>
            <w:r>
              <w:t xml:space="preserve"> highest, followed by </w:t>
            </w:r>
            <w:r>
              <w:t>Austria</w:t>
            </w:r>
            <w:r>
              <w:t xml:space="preserve">. </w:t>
            </w:r>
            <w:r>
              <w:t>Germany</w:t>
            </w:r>
            <w:r>
              <w:t xml:space="preserve"> is also its </w:t>
            </w:r>
            <w:r>
              <w:t>1st</w:t>
            </w:r>
            <w:r>
              <w:t xml:space="preserve"> trade partner, while </w:t>
            </w:r>
            <w:r>
              <w:t>Bosnia and Herzegovina</w:t>
            </w:r>
            <w:r>
              <w:t xml:space="preserve"> and </w:t>
            </w:r>
            <w:r>
              <w:t>Turkiye</w:t>
            </w:r>
            <w:r>
              <w:t xml:space="preserve"> are each </w:t>
            </w:r>
            <w:r>
              <w:t>a strong tie today that the index ranks lower</w:t>
            </w:r>
            <w:r>
              <w:t>.</w:t>
            </w:r>
            <w:r>
              <w:rPr>
                <w:color w:val="4B5563"/>
                <w:vertAlign w:val="superscript"/>
              </w:rPr>
              <w:t>1,2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>14</w:t>
      </w:r>
      <w:r>
        <w:t xml:space="preserve"> of </w:t>
      </w:r>
      <w:r>
        <w:t>Croatia</w:t>
      </w:r>
      <w:r>
        <w:t xml:space="preserve">'s </w:t>
      </w:r>
      <w:r>
        <w:t>30</w:t>
      </w:r>
      <w:r>
        <w:t xml:space="preserve"> placed sectors, those whose scores can be compared with other economies, sit in the two low-energy-security corners. Energy Security measures how well a country can rely on what it needs in a sector. Compared with other economies, its Energy Security is lowest in </w:t>
      </w:r>
      <w:r>
        <w:t>upstream coal</w:t>
      </w:r>
      <w:r>
        <w:t xml:space="preserve">, </w:t>
      </w:r>
      <w:r>
        <w:t>upstream electric grid</w:t>
      </w:r>
      <w:r>
        <w:t xml:space="preserve">, </w:t>
      </w:r>
      <w:r>
        <w:t>downstream nuclear</w:t>
      </w:r>
      <w:r>
        <w:t xml:space="preserve"> and </w:t>
      </w:r>
      <w:r>
        <w:t>downstream coal</w:t>
      </w:r>
      <w:r>
        <w:t xml:space="preserve">. Its scores there are higher than only </w:t>
      </w:r>
      <w:r>
        <w:t>12%</w:t>
      </w:r>
      <w:r>
        <w:t xml:space="preserve">, </w:t>
      </w:r>
      <w:r>
        <w:t>15%</w:t>
      </w:r>
      <w:r>
        <w:t xml:space="preserve">, </w:t>
      </w:r>
      <w:r>
        <w:t>26%</w:t>
      </w:r>
      <w:r>
        <w:t xml:space="preserve"> and </w:t>
      </w:r>
      <w:r>
        <w:t>28%</w:t>
      </w:r>
      <w:r>
        <w:t xml:space="preserve"> of the other </w:t>
      </w:r>
      <w:r>
        <w:t>95</w:t>
      </w:r>
      <w:r>
        <w:t xml:space="preserve">, </w:t>
      </w:r>
      <w:r>
        <w:t>93</w:t>
      </w:r>
      <w:r>
        <w:t xml:space="preserve">, </w:t>
      </w:r>
      <w:r>
        <w:t>66</w:t>
      </w:r>
      <w:r>
        <w:t xml:space="preserve"> and </w:t>
      </w:r>
      <w:r>
        <w:t>98</w:t>
      </w:r>
      <w:r>
        <w:t xml:space="preserve"> economies scored in these sectors. Of these, </w:t>
      </w:r>
      <w:r>
        <w:t>upstream coal</w:t>
      </w:r>
      <w:r>
        <w:t xml:space="preserve"> and </w:t>
      </w:r>
      <w:r>
        <w:t>upstream electric grid</w:t>
      </w:r>
      <w:r>
        <w:t xml:space="preserve"> sit in the </w:t>
      </w:r>
      <w:r>
        <w:t>Upgrade</w:t>
      </w:r>
      <w:r>
        <w:t xml:space="preserve"> corner, and </w:t>
      </w:r>
      <w:r>
        <w:t>downstream nuclear</w:t>
      </w:r>
      <w:r>
        <w:t xml:space="preserve"> and </w:t>
      </w:r>
      <w:r>
        <w:t>downstream coal</w:t>
      </w:r>
      <w:r>
        <w:t xml:space="preserve"> in the </w:t>
      </w:r>
      <w:r>
        <w:t>Secure</w:t>
      </w:r>
      <w:r>
        <w:t xml:space="preserve"> corner.</w:t>
      </w:r>
      <w:r>
        <w:rPr>
          <w:color w:val="4B5563"/>
          <w:vertAlign w:val="superscript"/>
        </w:rPr>
        <w:t>1</w:t>
      </w:r>
    </w:p>
    <w:p>
      <w:r>
        <w:t xml:space="preserve">The data's high-priority sectors, its </w:t>
      </w:r>
      <w:r>
        <w:t>Upgrade</w:t>
      </w:r>
      <w:r>
        <w:t xml:space="preserve"> sectors with the best Strategic Index ranks, are </w:t>
      </w:r>
      <w:r>
        <w:t>upstream batteries, upstream electric grid and upstream green hydrogen</w:t>
      </w:r>
      <w:r>
        <w:t xml:space="preserve">. In </w:t>
      </w:r>
      <w:r>
        <w:t>upstream electric grid</w:t>
      </w:r>
      <w:r>
        <w:t xml:space="preserve"> the score is </w:t>
      </w:r>
      <w:r>
        <w:t>0.32</w:t>
      </w:r>
      <w:r>
        <w:t xml:space="preserve">, and trade pulls it down. Its trade deficit in these goods was </w:t>
      </w:r>
      <w:r>
        <w:t>0.5% of GDP</w:t>
      </w:r>
      <w:r>
        <w:t xml:space="preserve"> in </w:t>
      </w:r>
      <w:r>
        <w:t>2023</w:t>
      </w:r>
      <w:r>
        <w:t xml:space="preserve">; on this measure it scores higher than only </w:t>
      </w:r>
      <w:r>
        <w:t>2%</w:t>
      </w:r>
      <w:r>
        <w:t xml:space="preserve"> of the other economies. For context, of its </w:t>
      </w:r>
      <w:r>
        <w:t>USD 515 m</w:t>
      </w:r>
      <w:r>
        <w:t xml:space="preserve"> of imports of these goods in </w:t>
      </w:r>
      <w:r>
        <w:t>2024</w:t>
      </w:r>
      <w:r>
        <w:t xml:space="preserve">, </w:t>
      </w:r>
      <w:r>
        <w:t>Slovenia</w:t>
      </w:r>
      <w:r>
        <w:t xml:space="preserve"> supplied </w:t>
      </w:r>
      <w:r>
        <w:t>33.6%</w:t>
      </w:r>
      <w:r>
        <w:t xml:space="preserve">, </w:t>
      </w:r>
      <w:r>
        <w:t>Bulgaria</w:t>
      </w:r>
      <w:r>
        <w:t xml:space="preserve"> </w:t>
      </w:r>
      <w:r>
        <w:t>21.6%</w:t>
      </w:r>
      <w:r>
        <w:t xml:space="preserve"> and </w:t>
      </w:r>
      <w:r>
        <w:t>Bosnia and Herzegovina</w:t>
      </w:r>
      <w:r>
        <w:t xml:space="preserve"> </w:t>
      </w:r>
      <w:r>
        <w:t>9.3%</w:t>
      </w:r>
      <w:r>
        <w:t xml:space="preserve">. In </w:t>
      </w:r>
      <w:r>
        <w:t>upstream green hydrogen</w:t>
      </w:r>
      <w:r>
        <w:t xml:space="preserve">, which scores </w:t>
      </w:r>
      <w:r>
        <w:t>0.18</w:t>
      </w:r>
      <w:r>
        <w:t xml:space="preserve">, minerals trade pulls the score down: its share of world exports of the technology's minerals was </w:t>
      </w:r>
      <w:r>
        <w:t>&lt;0.1%</w:t>
      </w:r>
      <w:r>
        <w:t xml:space="preserve"> in </w:t>
      </w:r>
      <w:r>
        <w:t>2024</w:t>
      </w:r>
      <w:r>
        <w:t>.</w:t>
      </w:r>
      <w:r>
        <w:rPr>
          <w:color w:val="4B5563"/>
          <w:vertAlign w:val="superscript"/>
        </w:rPr>
        <w:t>1,2,3,4</w:t>
      </w:r>
    </w:p>
    <w:p>
      <w:r>
        <w:t xml:space="preserve">In </w:t>
      </w:r>
      <w:r>
        <w:t>upstream coal</w:t>
      </w:r>
      <w:r>
        <w:t xml:space="preserve">, trade pulls the score down too: the deficit was </w:t>
      </w:r>
      <w:r>
        <w:t>0.5% of GDP</w:t>
      </w:r>
      <w:r>
        <w:t xml:space="preserve"> in </w:t>
      </w:r>
      <w:r>
        <w:t>2023</w:t>
      </w:r>
      <w:r>
        <w:t xml:space="preserve">. For context, its largest suppliers were </w:t>
      </w:r>
      <w:r>
        <w:t>Colombia</w:t>
      </w:r>
      <w:r>
        <w:t xml:space="preserve"> (</w:t>
      </w:r>
      <w:r>
        <w:t>41.8%</w:t>
      </w:r>
      <w:r>
        <w:t xml:space="preserve">) and </w:t>
      </w:r>
      <w:r>
        <w:t>Kazakhstan</w:t>
      </w:r>
      <w:r>
        <w:t xml:space="preserve"> (</w:t>
      </w:r>
      <w:r>
        <w:t>32.4%</w:t>
      </w:r>
      <w:r>
        <w:t xml:space="preserve">). In </w:t>
      </w:r>
      <w:r>
        <w:t>downstream coal</w:t>
      </w:r>
      <w:r>
        <w:t xml:space="preserve">, energy access pulls the score down: coal use per person changed by </w:t>
      </w:r>
      <w:r>
        <w:t>-34.8%</w:t>
      </w:r>
      <w:r>
        <w:t xml:space="preserve"> over the years to </w:t>
      </w:r>
      <w:r>
        <w:t>2025</w:t>
      </w:r>
      <w:r>
        <w:t xml:space="preserve">, to </w:t>
      </w:r>
      <w:r>
        <w:t>2.49 GJ per person</w:t>
      </w:r>
      <w:r>
        <w:t>.</w:t>
      </w:r>
      <w:r>
        <w:rPr>
          <w:color w:val="4B5563"/>
          <w:vertAlign w:val="superscript"/>
        </w:rPr>
        <w:t>2,3,5</w:t>
      </w:r>
    </w:p>
    <w:p>
      <w:pPr>
        <w:pStyle w:val="Heading1"/>
      </w:pPr>
      <w:r>
        <w:t>2. Economic opportunities and why</w:t>
      </w:r>
    </w:p>
    <w:p>
      <w:r>
        <w:t>23</w:t>
      </w:r>
      <w:r>
        <w:t xml:space="preserve"> of the </w:t>
      </w:r>
      <w:r>
        <w:t>30</w:t>
      </w:r>
      <w:r>
        <w:t xml:space="preserve"> placed sectors sit in the two high-opportunity corners. Economic Opportunity measures how well placed a country is to create value in a sector. Compared with other economies, it is highest in </w:t>
      </w:r>
      <w:r>
        <w:t>upstream solar</w:t>
      </w:r>
      <w:r>
        <w:t xml:space="preserve">, </w:t>
      </w:r>
      <w:r>
        <w:t>midstream nuclear</w:t>
      </w:r>
      <w:r>
        <w:t xml:space="preserve">, </w:t>
      </w:r>
      <w:r>
        <w:t>midstream coal</w:t>
      </w:r>
      <w:r>
        <w:t xml:space="preserve"> and </w:t>
      </w:r>
      <w:r>
        <w:t>downstream solar</w:t>
      </w:r>
      <w:r>
        <w:t xml:space="preserve">, higher than </w:t>
      </w:r>
      <w:r>
        <w:t>93%</w:t>
      </w:r>
      <w:r>
        <w:t xml:space="preserve">, </w:t>
      </w:r>
      <w:r>
        <w:t>88%</w:t>
      </w:r>
      <w:r>
        <w:t xml:space="preserve">, </w:t>
      </w:r>
      <w:r>
        <w:t>87%</w:t>
      </w:r>
      <w:r>
        <w:t xml:space="preserve"> and </w:t>
      </w:r>
      <w:r>
        <w:t>84%</w:t>
      </w:r>
      <w:r>
        <w:t xml:space="preserve"> of the other economies scored. All sit in the </w:t>
      </w:r>
      <w:r>
        <w:t>Grow</w:t>
      </w:r>
      <w:r>
        <w:t xml:space="preserve"> corner, which the paper's framework associates with export promotion.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upstream solar</w:t>
      </w:r>
      <w:r>
        <w:t xml:space="preserve">, trade pushes the score up: its revealed comparative advantage, the weight of these goods in its exports relative to world exports, was </w:t>
      </w:r>
      <w:r>
        <w:t>7.66</w:t>
      </w:r>
      <w:r>
        <w:t xml:space="preserve"> in </w:t>
      </w:r>
      <w:r>
        <w:t>2024</w:t>
      </w:r>
      <w:r>
        <w:t xml:space="preserve">. Its share of world exports was </w:t>
      </w:r>
      <w:r>
        <w:t>0.8%</w:t>
      </w:r>
      <w:r>
        <w:t xml:space="preserve"> in </w:t>
      </w:r>
      <w:r>
        <w:t>2023</w:t>
      </w:r>
      <w:r>
        <w:t xml:space="preserve">. For context, </w:t>
      </w:r>
      <w:r>
        <w:t>Italy</w:t>
      </w:r>
      <w:r>
        <w:t xml:space="preserve"> took </w:t>
      </w:r>
      <w:r>
        <w:t>80.4%</w:t>
      </w:r>
      <w:r>
        <w:t xml:space="preserve"> of its exports of these goods in </w:t>
      </w:r>
      <w:r>
        <w:t>2024</w:t>
      </w:r>
      <w:r>
        <w:t>.</w:t>
      </w:r>
      <w:r>
        <w:rPr>
          <w:color w:val="4B5563"/>
          <w:vertAlign w:val="superscript"/>
        </w:rPr>
        <w:t>2,3,6</w:t>
      </w:r>
    </w:p>
    <w:p>
      <w:r>
        <w:t xml:space="preserve">In </w:t>
      </w:r>
      <w:r>
        <w:t>midstream nuclear</w:t>
      </w:r>
      <w:r>
        <w:t xml:space="preserve"> and </w:t>
      </w:r>
      <w:r>
        <w:t>midstream coal</w:t>
      </w:r>
      <w:r>
        <w:t xml:space="preserve">, trade also pushes the score up, with revealed comparative advantages of </w:t>
      </w:r>
      <w:r>
        <w:t>2.98</w:t>
      </w:r>
      <w:r>
        <w:t xml:space="preserve"> and </w:t>
      </w:r>
      <w:r>
        <w:t>2.66</w:t>
      </w:r>
      <w:r>
        <w:t xml:space="preserve"> in </w:t>
      </w:r>
      <w:r>
        <w:t>2024</w:t>
      </w:r>
      <w:r>
        <w:t xml:space="preserve">. For context, the largest market for its </w:t>
      </w:r>
      <w:r>
        <w:t>midstream nuclear</w:t>
      </w:r>
      <w:r>
        <w:t xml:space="preserve"> exports was the </w:t>
      </w:r>
      <w:r>
        <w:t>United States</w:t>
      </w:r>
      <w:r>
        <w:t xml:space="preserve"> (</w:t>
      </w:r>
      <w:r>
        <w:t>39.4%</w:t>
      </w:r>
      <w:r>
        <w:t xml:space="preserve">). In </w:t>
      </w:r>
      <w:r>
        <w:t>downstream solar</w:t>
      </w:r>
      <w:r>
        <w:t xml:space="preserve">, investment and energy access push the score up. On growth in investment it scores higher than </w:t>
      </w:r>
      <w:r>
        <w:t>85%</w:t>
      </w:r>
      <w:r>
        <w:t xml:space="preserve"> of the other economies, and solar power use per person changed by </w:t>
      </w:r>
      <w:r>
        <w:t>1313.2%</w:t>
      </w:r>
      <w:r>
        <w:t xml:space="preserve"> over the years to </w:t>
      </w:r>
      <w:r>
        <w:t>2025</w:t>
      </w:r>
      <w:r>
        <w:t xml:space="preserve">, to </w:t>
      </w:r>
      <w:r>
        <w:t>1.23 GJ per person</w:t>
      </w:r>
      <w:r>
        <w:t>.</w:t>
      </w:r>
      <w:r>
        <w:rPr>
          <w:color w:val="4B5563"/>
          <w:vertAlign w:val="superscript"/>
        </w:rPr>
        <w:t>1,2,5,6</w:t>
      </w:r>
    </w:p>
    <w:p>
      <w:pPr>
        <w:pStyle w:val="Heading1"/>
      </w:pPr>
      <w:r>
        <w:t>3. Sectoral priorities and the existing policy posture</w:t>
      </w:r>
    </w:p>
    <w:p>
      <w:r>
        <w:t xml:space="preserve">The Strategic Index ranks a country's own sectors by opportunity, security need, policy activity, stage and low-emission value. On the paper's weighting, it ranks </w:t>
      </w:r>
      <w:r>
        <w:t>upstream nuclear</w:t>
      </w:r>
      <w:r>
        <w:t xml:space="preserve"> </w:t>
      </w:r>
      <w:r>
        <w:t>1st</w:t>
      </w:r>
      <w:r>
        <w:t xml:space="preserve">, </w:t>
      </w:r>
      <w:r>
        <w:t>downstream batteries</w:t>
      </w:r>
      <w:r>
        <w:t xml:space="preserve"> </w:t>
      </w:r>
      <w:r>
        <w:t>2nd</w:t>
      </w:r>
      <w:r>
        <w:t xml:space="preserve">, </w:t>
      </w:r>
      <w:r>
        <w:t>upstream batteries</w:t>
      </w:r>
      <w:r>
        <w:t xml:space="preserve"> </w:t>
      </w:r>
      <w:r>
        <w:t>3rd</w:t>
      </w:r>
      <w:r>
        <w:t xml:space="preserve">, </w:t>
      </w:r>
      <w:r>
        <w:t>upstream solar</w:t>
      </w:r>
      <w:r>
        <w:t xml:space="preserve"> </w:t>
      </w:r>
      <w:r>
        <w:t>4th</w:t>
      </w:r>
      <w:r>
        <w:t xml:space="preserve"> and </w:t>
      </w:r>
      <w:r>
        <w:t>midstream batteries</w:t>
      </w:r>
      <w:r>
        <w:t xml:space="preserve"> </w:t>
      </w:r>
      <w:r>
        <w:t>5th</w:t>
      </w:r>
      <w:r>
        <w:t xml:space="preserve"> among </w:t>
      </w:r>
      <w:r>
        <w:t>Croatia</w:t>
      </w:r>
      <w:r>
        <w:t xml:space="preserve">'s own sectors. With </w:t>
      </w:r>
      <w:r>
        <w:t>0.66</w:t>
      </w:r>
      <w:r>
        <w:t xml:space="preserve">, </w:t>
      </w:r>
      <w:r>
        <w:t>upstream nuclear</w:t>
      </w:r>
      <w:r>
        <w:t xml:space="preserve"> leads, almost tied with </w:t>
      </w:r>
      <w:r>
        <w:t>downstream batteries</w:t>
      </w:r>
      <w:r>
        <w:t xml:space="preserve">; the gaps between neighbours are </w:t>
      </w:r>
      <w:r>
        <w:t>0.001</w:t>
      </w:r>
      <w:r>
        <w:t xml:space="preserve">, </w:t>
      </w:r>
      <w:r>
        <w:t>0.003</w:t>
      </w:r>
      <w:r>
        <w:t xml:space="preserve">, </w:t>
      </w:r>
      <w:r>
        <w:t>0.011</w:t>
      </w:r>
      <w:r>
        <w:t xml:space="preserve"> and </w:t>
      </w:r>
      <w:r>
        <w:t>0.002</w:t>
      </w:r>
      <w:r>
        <w:t xml:space="preserve">. Priority, the index without its policy term, also puts </w:t>
      </w:r>
      <w:r>
        <w:t>upstream nuclear</w:t>
      </w:r>
      <w:r>
        <w:t xml:space="preserve"> </w:t>
      </w:r>
      <w:r>
        <w:t>1st</w:t>
      </w:r>
      <w:r>
        <w:t xml:space="preserve">, but </w:t>
      </w:r>
      <w:r>
        <w:t>downstream batteries</w:t>
      </w:r>
      <w:r>
        <w:t xml:space="preserve"> only </w:t>
      </w:r>
      <w:r>
        <w:t>13th</w:t>
      </w:r>
      <w:r>
        <w:t xml:space="preserve">; policy activity lifts the latter. For </w:t>
      </w:r>
      <w:r>
        <w:t>upstream batteries</w:t>
      </w:r>
      <w:r>
        <w:t xml:space="preserve">, in the </w:t>
      </w:r>
      <w:r>
        <w:t>Upgrade</w:t>
      </w:r>
      <w:r>
        <w:t xml:space="preserve"> corner that the paper's framework links to building domestic capability, security need adds </w:t>
      </w:r>
      <w:r>
        <w:t>0.238</w:t>
      </w:r>
      <w:r>
        <w:t xml:space="preserve">, against </w:t>
      </w:r>
      <w:r>
        <w:t>0.137</w:t>
      </w:r>
      <w:r>
        <w:t xml:space="preserve"> for opportunity.</w:t>
      </w:r>
      <w:r>
        <w:rPr>
          <w:color w:val="4B5563"/>
          <w:vertAlign w:val="superscript"/>
        </w:rPr>
        <w:t>1</w:t>
      </w:r>
    </w:p>
    <w:p>
      <w:r>
        <w:t xml:space="preserve">The allied pick, the leading upstream or midstream sector after a screen for resource endowment, is </w:t>
      </w:r>
      <w:r>
        <w:t>midstream batteries</w:t>
      </w:r>
      <w:r>
        <w:t xml:space="preserve"> (</w:t>
      </w:r>
      <w:r>
        <w:t>0.64</w:t>
      </w:r>
      <w:r>
        <w:t xml:space="preserve">), </w:t>
      </w:r>
      <w:r>
        <w:t>0.023</w:t>
      </w:r>
      <w:r>
        <w:t xml:space="preserve"> ahead of </w:t>
      </w:r>
      <w:r>
        <w:t>midstream electric grid</w:t>
      </w:r>
      <w:r>
        <w:t xml:space="preserve">. The screen leaves out </w:t>
      </w:r>
      <w:r>
        <w:t>upstream nuclear</w:t>
      </w:r>
      <w:r>
        <w:t xml:space="preserve">, </w:t>
      </w:r>
      <w:r>
        <w:t>upstream batteries</w:t>
      </w:r>
      <w:r>
        <w:t xml:space="preserve"> and </w:t>
      </w:r>
      <w:r>
        <w:t>upstream solar</w:t>
      </w:r>
      <w:r>
        <w:t>, with no recorded resource base.</w:t>
      </w:r>
      <w:r>
        <w:rPr>
          <w:color w:val="4B5563"/>
          <w:vertAlign w:val="superscript"/>
        </w:rPr>
        <w:t>7</w:t>
      </w:r>
    </w:p>
    <w:p>
      <w:r>
        <w:t xml:space="preserve">Policy activity counts International Energy Agency Policies and Measures records and reads the Climate Action Tracker rating against each technology. </w:t>
      </w:r>
      <w:r>
        <w:t>Croatia</w:t>
      </w:r>
      <w:r>
        <w:t xml:space="preserve"> carries the rating </w:t>
      </w:r>
      <w:r>
        <w:t>Insufficient</w:t>
      </w:r>
      <w:r>
        <w:t xml:space="preserve"> (</w:t>
      </w:r>
      <w:r>
        <w:t>November 2024</w:t>
      </w:r>
      <w:r>
        <w:t xml:space="preserve">) and has </w:t>
      </w:r>
      <w:r>
        <w:t>81</w:t>
      </w:r>
      <w:r>
        <w:t xml:space="preserve"> such records, </w:t>
      </w:r>
      <w:r>
        <w:t>39</w:t>
      </w:r>
      <w:r>
        <w:t xml:space="preserve"> of which name a technology. Top priority meets the most policy in </w:t>
      </w:r>
      <w:r>
        <w:t>upstream batteries, midstream batteries, midstream electric grid and midstream solar</w:t>
      </w:r>
      <w:r>
        <w:t xml:space="preserve">. It meets only middle policy in </w:t>
      </w:r>
      <w:r>
        <w:t>upstream nuclear, upstream electric grid, upstream solar, upstream green hydrogen, upstream wind and midstream green hydrogen</w:t>
      </w:r>
      <w:r>
        <w:t xml:space="preserve">, and never the least policy. In </w:t>
      </w:r>
      <w:r>
        <w:t>downstream green hydrogen</w:t>
      </w:r>
      <w:r>
        <w:t xml:space="preserve">, bottom priority meets the most policy. Priority and policy agree at the bottom in </w:t>
      </w:r>
      <w:r>
        <w:t>7</w:t>
      </w:r>
      <w:r>
        <w:t xml:space="preserve"> sectors, every coal and oil sector among them.</w:t>
      </w:r>
      <w:r>
        <w:rPr>
          <w:color w:val="4B5563"/>
          <w:vertAlign w:val="superscript"/>
        </w:rPr>
        <w:t>1,8,9</w:t>
      </w:r>
    </w:p>
    <w:p>
      <w:pPr>
        <w:pStyle w:val="Heading1"/>
      </w:pPr>
      <w:r>
        <w:t>4. Partnership priorities and why</w:t>
      </w:r>
    </w:p>
    <w:p>
      <w:r>
        <w:t xml:space="preserve">The Partnership Strength Index rates partners as reliable suppliers (Friendshore), as export markets (Partnership Opportunity) and, for middle- and lower-income partners, by Development Potential. From </w:t>
      </w:r>
      <w:r>
        <w:t>Croatia</w:t>
      </w:r>
      <w:r>
        <w:t xml:space="preserve">'s viewpoint it ranks </w:t>
      </w:r>
      <w:r>
        <w:t>Germany</w:t>
      </w:r>
      <w:r>
        <w:t xml:space="preserve"> </w:t>
      </w:r>
      <w:r>
        <w:t>1st</w:t>
      </w:r>
      <w:r>
        <w:t xml:space="preserve">, </w:t>
      </w:r>
      <w:r>
        <w:t>Austria</w:t>
      </w:r>
      <w:r>
        <w:t xml:space="preserve"> </w:t>
      </w:r>
      <w:r>
        <w:t>2nd</w:t>
      </w:r>
      <w:r>
        <w:t xml:space="preserve">, </w:t>
      </w:r>
      <w:r>
        <w:t>Slovenia</w:t>
      </w:r>
      <w:r>
        <w:t xml:space="preserve"> </w:t>
      </w:r>
      <w:r>
        <w:t>3rd</w:t>
      </w:r>
      <w:r>
        <w:t xml:space="preserve">, </w:t>
      </w:r>
      <w:r>
        <w:t>Italy</w:t>
      </w:r>
      <w:r>
        <w:t xml:space="preserve"> </w:t>
      </w:r>
      <w:r>
        <w:t>4th</w:t>
      </w:r>
      <w:r>
        <w:t xml:space="preserve"> and the </w:t>
      </w:r>
      <w:r>
        <w:t>Netherlands</w:t>
      </w:r>
      <w:r>
        <w:t xml:space="preserve"> </w:t>
      </w:r>
      <w:r>
        <w:t>5th</w:t>
      </w:r>
      <w:r>
        <w:t xml:space="preserve"> of </w:t>
      </w:r>
      <w:r>
        <w:t>191</w:t>
      </w:r>
      <w:r>
        <w:t xml:space="preserve"> partners. </w:t>
      </w:r>
      <w:r>
        <w:t>Germany</w:t>
      </w:r>
      <w:r>
        <w:t xml:space="preserve">, </w:t>
      </w:r>
      <w:r>
        <w:t>Slovenia</w:t>
      </w:r>
      <w:r>
        <w:t xml:space="preserve"> and the </w:t>
      </w:r>
      <w:r>
        <w:t>Netherlands</w:t>
      </w:r>
      <w:r>
        <w:t xml:space="preserve"> each stand out as an </w:t>
      </w:r>
      <w:r>
        <w:t>export market</w:t>
      </w:r>
      <w:r>
        <w:t xml:space="preserve">; for </w:t>
      </w:r>
      <w:r>
        <w:t>Germany</w:t>
      </w:r>
      <w:r>
        <w:t xml:space="preserve"> the best sectors are </w:t>
      </w:r>
      <w:r>
        <w:t>midstream wind, upstream solar, midstream electric grid, midstream solar and midstream batteries</w:t>
      </w:r>
      <w:r>
        <w:t xml:space="preserve">. </w:t>
      </w:r>
      <w:r>
        <w:t>Austria</w:t>
      </w:r>
      <w:r>
        <w:t xml:space="preserve"> and </w:t>
      </w:r>
      <w:r>
        <w:t>Italy</w:t>
      </w:r>
      <w:r>
        <w:t xml:space="preserve"> each stand out as a </w:t>
      </w:r>
      <w:r>
        <w:t>reliable supplier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Today's trade matches this list closely. </w:t>
      </w:r>
      <w:r>
        <w:t>Germany</w:t>
      </w:r>
      <w:r>
        <w:t xml:space="preserve"> is </w:t>
      </w:r>
      <w:r>
        <w:t>Croatia</w:t>
      </w:r>
      <w:r>
        <w:t xml:space="preserve">'s </w:t>
      </w:r>
      <w:r>
        <w:t>1st</w:t>
      </w:r>
      <w:r>
        <w:t xml:space="preserve"> trade partner on average across its energy-goods baskets, </w:t>
      </w:r>
      <w:r>
        <w:t>Italy</w:t>
      </w:r>
      <w:r>
        <w:t xml:space="preserve"> its </w:t>
      </w:r>
      <w:r>
        <w:t>2nd</w:t>
      </w:r>
      <w:r>
        <w:t xml:space="preserve">, </w:t>
      </w:r>
      <w:r>
        <w:t>Slovenia</w:t>
      </w:r>
      <w:r>
        <w:t xml:space="preserve"> its </w:t>
      </w:r>
      <w:r>
        <w:t>3rd</w:t>
      </w:r>
      <w:r>
        <w:t xml:space="preserve">, the </w:t>
      </w:r>
      <w:r>
        <w:t>Netherlands</w:t>
      </w:r>
      <w:r>
        <w:t xml:space="preserve"> its </w:t>
      </w:r>
      <w:r>
        <w:t>5th</w:t>
      </w:r>
      <w:r>
        <w:t xml:space="preserve"> and </w:t>
      </w:r>
      <w:r>
        <w:t>Austria</w:t>
      </w:r>
      <w:r>
        <w:t xml:space="preserve"> its </w:t>
      </w:r>
      <w:r>
        <w:t>7th</w:t>
      </w:r>
      <w:r>
        <w:t xml:space="preserve">; each is </w:t>
      </w:r>
      <w:r>
        <w:t>a priority partner with strong ties today</w:t>
      </w:r>
      <w:r>
        <w:t xml:space="preserve">. All of these partners vote in the </w:t>
      </w:r>
      <w:r>
        <w:t>same bloc</w:t>
      </w:r>
      <w:r>
        <w:t xml:space="preserve"> as </w:t>
      </w:r>
      <w:r>
        <w:t>Croatia</w:t>
      </w:r>
      <w:r>
        <w:t xml:space="preserve"> at the UN, and all but </w:t>
      </w:r>
      <w:r>
        <w:t>Austria</w:t>
      </w:r>
      <w:r>
        <w:t xml:space="preserve"> share membership of </w:t>
      </w:r>
      <w:r>
        <w:t>NATO</w:t>
      </w:r>
      <w:r>
        <w:t xml:space="preserve"> with it. By contrast, </w:t>
      </w:r>
      <w:r>
        <w:t>Bosnia and Herzegovina</w:t>
      </w:r>
      <w:r>
        <w:t xml:space="preserve"> is its </w:t>
      </w:r>
      <w:r>
        <w:t>9th</w:t>
      </w:r>
      <w:r>
        <w:t xml:space="preserve"> trade partner but ranks </w:t>
      </w:r>
      <w:r>
        <w:t>28th</w:t>
      </w:r>
      <w:r>
        <w:t xml:space="preserve"> on Partnership Strength, and </w:t>
      </w:r>
      <w:r>
        <w:t>Turkiye</w:t>
      </w:r>
      <w:r>
        <w:t xml:space="preserve"> is its </w:t>
      </w:r>
      <w:r>
        <w:t>10th</w:t>
      </w:r>
      <w:r>
        <w:t xml:space="preserve"> but ranks </w:t>
      </w:r>
      <w:r>
        <w:t>43rd</w:t>
      </w:r>
      <w:r>
        <w:t xml:space="preserve">. In UN votes, </w:t>
      </w:r>
      <w:r>
        <w:t>Croatia</w:t>
      </w:r>
      <w:r>
        <w:t xml:space="preserve"> is </w:t>
      </w:r>
      <w:r>
        <w:t>U.S.-leaning</w:t>
      </w:r>
      <w:r>
        <w:t xml:space="preserve">, while </w:t>
      </w:r>
      <w:r>
        <w:t>Bosnia and Herzegovina</w:t>
      </w:r>
      <w:r>
        <w:t xml:space="preserve"> and </w:t>
      </w:r>
      <w:r>
        <w:t>Turkiye</w:t>
      </w:r>
      <w:r>
        <w:t xml:space="preserve"> are each </w:t>
      </w:r>
      <w:r>
        <w:t>nonaligned</w:t>
      </w:r>
      <w:r>
        <w:t>.</w:t>
      </w:r>
      <w:r>
        <w:rPr>
          <w:color w:val="4B5563"/>
          <w:vertAlign w:val="superscript"/>
        </w:rPr>
        <w:t>1,2,10,11</w:t>
      </w:r>
    </w:p>
    <w:p>
      <w:r>
        <w:t xml:space="preserve">As a partner to the coalition, </w:t>
      </w:r>
      <w:r>
        <w:t>Croatia</w:t>
      </w:r>
      <w:r>
        <w:t xml:space="preserve"> ranks </w:t>
      </w:r>
      <w:r>
        <w:t>32nd</w:t>
      </w:r>
      <w:r>
        <w:t xml:space="preserve"> of </w:t>
      </w:r>
      <w:r>
        <w:t>192</w:t>
      </w:r>
      <w:r>
        <w:t xml:space="preserve"> economies on Partnership Strength averaged over the core members' viewpoints. In the allied network design, which spreads upstream and midstream production across coalition members, its largest designed shares are </w:t>
      </w:r>
      <w:r>
        <w:t>0.7%</w:t>
      </w:r>
      <w:r>
        <w:t xml:space="preserve"> of </w:t>
      </w:r>
      <w:r>
        <w:t>upstream solar</w:t>
      </w:r>
      <w:r>
        <w:t xml:space="preserve"> and </w:t>
      </w:r>
      <w:r>
        <w:t>0.2%</w:t>
      </w:r>
      <w:r>
        <w:t xml:space="preserve"> of </w:t>
      </w:r>
      <w:r>
        <w:t>midstream wind</w:t>
      </w:r>
      <w:r>
        <w:t>.</w:t>
      </w:r>
      <w:r>
        <w:rPr>
          <w:color w:val="4B5563"/>
          <w:vertAlign w:val="superscript"/>
        </w:rPr>
        <w:t>1,7</w:t>
      </w:r>
    </w:p>
    <w:p>
      <w:pPr>
        <w:pStyle w:val="Heading1"/>
      </w:pPr>
      <w:r>
        <w:t>5. Data notes and caveats</w:t>
      </w:r>
    </w:p>
    <w:p>
      <w:r>
        <w:t xml:space="preserve">Values are as of </w:t>
      </w:r>
      <w:r>
        <w:t>12 October 2026</w:t>
      </w:r>
      <w:r>
        <w:t>; Country Insights has more.</w:t>
      </w:r>
    </w:p>
    <w:p>
      <w:pPr>
        <w:pStyle w:val="ListBullet"/>
      </w:pPr>
      <w:r>
        <w:t>Scores compare Croatia with other economies in the same sector; they are not measures of risk or profit in absolute terms.</w:t>
      </w:r>
    </w:p>
    <w:p>
      <w:pPr>
        <w:pStyle w:val="ListBullet"/>
      </w:pPr>
      <w:r>
        <w:t>All index values are the paper's baseline as of 12 October 2026; Strategic Insights recomputes them under other weightings.</w:t>
      </w:r>
    </w:p>
    <w:p>
      <w:pPr>
        <w:pStyle w:val="ListBullet"/>
      </w:pPr>
      <w:r>
        <w:t>Strategic Index scores within 0.01 of each other are almost tied: small changes in the data or the weights can swap their order.</w:t>
      </w:r>
    </w:p>
    <w:p>
      <w:pPr>
        <w:pStyle w:val="ListBullet"/>
      </w:pPr>
      <w:r>
        <w:t>Many allied picks are close calls: in the paper, 37% of them are within 0.01 of the runner-up.</w:t>
      </w:r>
    </w:p>
    <w:p>
      <w:pPr>
        <w:pStyle w:val="ListBullet"/>
      </w:pPr>
      <w:r>
        <w:t>In the allied network design the European Union is one producer; Croatia's shares are derived from its weight within the EU.</w:t>
      </w:r>
    </w:p>
    <w:p>
      <w:pPr>
        <w:pStyle w:val="ListBullet"/>
      </w:pPr>
      <w:r>
        <w:t>The Climate Action Tracker rates the EU as a whole; Croatia carries the EU's rating.</w:t>
      </w:r>
    </w:p>
    <w:p>
      <w:pPr>
        <w:pStyle w:val="ListBullet"/>
      </w:pPr>
      <w:r>
        <w:t>Croatia's counts leave out the EU's own 438 International Energy Agency policy records.</w:t>
      </w:r>
    </w:p>
    <w:p>
      <w:pPr>
        <w:pStyle w:val="ListBullet"/>
      </w:pPr>
      <w:r>
        <w:t>Trade figures count trade with other EU members.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 (Opportunity Security Indices pipeline); CC BY 4.0 (the paper's indices).</w:t>
      </w:r>
    </w:p>
    <w:p>
      <w:pPr>
        <w:pStyle w:val="ListNumber"/>
      </w:pPr>
      <w:r>
        <w:rPr>
          <w:sz w:val="17"/>
        </w:rPr>
        <w:t>United Nations, UN Comtrade Database, HS6 bilateral trade (all reporters), 2020 and 2024; reconciled by the authors (pulled 2026-10-07 to 2026-10-09); attribution; https://comtradeplus.un.org/.</w:t>
      </w:r>
    </w:p>
    <w:p>
      <w:pPr>
        <w:pStyle w:val="ListNumber"/>
      </w:pPr>
      <w:r>
        <w:rPr>
          <w:sz w:val="17"/>
        </w:rPr>
        <w:t>Growth Lab at Harvard University, The Atlas of Economic Complexity, HS92 6-digit country-product-year data (data to 2023); attribution; https://atlas.hks.harvard.edu/.</w:t>
      </w:r>
    </w:p>
    <w:p>
      <w:pPr>
        <w:pStyle w:val="ListNumber"/>
      </w:pPr>
      <w:r>
        <w:rPr>
          <w:sz w:val="17"/>
        </w:rPr>
        <w:t>United Nations, UN Comtrade Database, critical-mineral HS codes, exports and imports by reporter, 2024 (2024 data); attribution; https://comtradeplus.un.org/.</w:t>
      </w:r>
    </w:p>
    <w:p>
      <w:pPr>
        <w:pStyle w:val="ListNumber"/>
      </w:pPr>
      <w:r>
        <w:rPr>
          <w:sz w:val="17"/>
        </w:rPr>
        <w:t>Energy Institute, Statistical Review of World Energy 2026 (data to 2025); attribution; https://www.energyinst.org/statistical-review.</w:t>
      </w:r>
    </w:p>
    <w:p>
      <w:pPr>
        <w:pStyle w:val="ListNumber"/>
      </w:pPr>
      <w:r>
        <w:rPr>
          <w:sz w:val="17"/>
        </w:rPr>
        <w:t>United Nations, UN Comtrade Database, exports to World by reporter, 2024 (2024 data); attribution; https://comtradeplus.un.org/.</w:t>
      </w:r>
    </w:p>
    <w:p>
      <w:pPr>
        <w:pStyle w:val="ListNumber"/>
      </w:pPr>
      <w:r>
        <w:rPr>
          <w:sz w:val="17"/>
        </w:rPr>
        <w:t>Allied network design (the paper's model design of coalition production shares).</w:t>
      </w:r>
    </w:p>
    <w:p>
      <w:pPr>
        <w:pStyle w:val="ListNumber"/>
      </w:pPr>
      <w:r>
        <w:rPr>
          <w:sz w:val="17"/>
        </w:rPr>
        <w:t>Climate Action Tracker, country ratings (ratings updated 2022-2025); attribution; https://climateactiontracker.org/.</w:t>
      </w:r>
    </w:p>
    <w:p>
      <w:pPr>
        <w:pStyle w:val="ListNumber"/>
      </w:pPr>
      <w:r>
        <w:rPr>
          <w:sz w:val="17"/>
        </w:rPr>
        <w:t>International Energy Agency, Policies and Measures Database (export of 2026-09-30); attribution; https://www.iea.org/policies.</w:t>
      </w:r>
    </w:p>
    <w:p>
      <w:pPr>
        <w:pStyle w:val="ListNumber"/>
      </w:pPr>
      <w:r>
        <w:rPr>
          <w:sz w:val="17"/>
        </w:rPr>
        <w:t>Bailey, M., Strezhnev, A. and Voeten, E., United Nations General Assembly Voting Data, ideal points (Harvard Dataverse V39.0) (sessions to 2023); attribution; https://dataverse.harvard.edu/dataset.xhtml?persistentId=hdl:1902.1/12379.</w:t>
      </w:r>
    </w:p>
    <w:p>
      <w:pPr>
        <w:pStyle w:val="ListNumber"/>
      </w:pPr>
      <w:r>
        <w:rPr>
          <w:sz w:val="17"/>
        </w:rPr>
        <w:t>Economic-security agreements: G7, NATO, Indo-Pacific Economic Framework, Minerals Security Partnership (and Forum), U.S. free-trade agreements (compiled by the authors from official membership lists).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  Allied Industrial Base Explorer, Country Insights: Croatia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Croatia: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HRV</cp:keywords>
  <dc:description>paper baseline as of 12 October 2026; fact sheet sha256 f3d3a683945d32840919c3f35538198a59d2e77f0396710d39cb82114eafe625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