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Hungary: energy security, economic opportunity and partnership priorities</w:t>
      </w:r>
    </w:p>
    <w:p>
      <w:r>
        <w:rPr>
          <w:color w:val="4B5563"/>
          <w:sz w:val="18"/>
        </w:rPr>
        <w:t>Policy memo · Country Insights · Allied Industrial Base Explorer · NEIS Center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9"/>
        </w:rPr>
        <w:t>AI-generated from the data and checked against it; paper baseline as of 12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3F4F6"/>
            <w:tcBorders>
              <w:top w:val="nil"/>
              <w:left w:val="single" w:sz="24" w:space="0" w:color="F58229"/>
              <w:bottom w:val="nil"/>
              <w:right w:val="nil"/>
            </w:tcBorders>
            <w:tcMar>
              <w:top w:w="120" w:type="dxa"/>
              <w:left w:w="200" w:type="dxa"/>
              <w:bottom w:w="80" w:type="dxa"/>
              <w:right w:w="160" w:type="dxa"/>
            </w:tcMar>
          </w:tcPr>
          <w:p>
            <w:r>
              <w:rPr>
                <w:b/>
                <w:sz w:val="24"/>
              </w:rPr>
              <w:t>Summary</w:t>
            </w:r>
          </w:p>
          <w:p>
            <w:pPr>
              <w:pStyle w:val="ListBullet"/>
            </w:pPr>
            <w:r>
              <w:t>12</w:t>
            </w:r>
            <w:r>
              <w:t xml:space="preserve"> of </w:t>
            </w:r>
            <w:r>
              <w:t>Hungary</w:t>
            </w:r>
            <w:r>
              <w:t xml:space="preserve">'s </w:t>
            </w:r>
            <w:r>
              <w:t>30</w:t>
            </w:r>
            <w:r>
              <w:t xml:space="preserve"> placed sectors sit in the two low-energy-security corners; against other economies, its Energy Security is lowest in </w:t>
            </w:r>
            <w:r>
              <w:t>downstream coal</w:t>
            </w:r>
            <w:r>
              <w:t xml:space="preserve">, </w:t>
            </w:r>
            <w:r>
              <w:t>upstream gas</w:t>
            </w:r>
            <w:r>
              <w:t xml:space="preserve"> and </w:t>
            </w:r>
            <w:r>
              <w:t>downstream wind</w:t>
            </w:r>
            <w:r>
              <w:t>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Its openings are broad: </w:t>
            </w:r>
            <w:r>
              <w:t>17</w:t>
            </w:r>
            <w:r>
              <w:t xml:space="preserve"> placed sectors sit in the two high-opportunity corners, and its Economic Opportunity is highest in </w:t>
            </w:r>
            <w:r>
              <w:t>midstream electric vehicles</w:t>
            </w:r>
            <w:r>
              <w:t xml:space="preserve">, </w:t>
            </w:r>
            <w:r>
              <w:t>midstream batteries</w:t>
            </w:r>
            <w:r>
              <w:t xml:space="preserve"> and </w:t>
            </w:r>
            <w:r>
              <w:t>upstream nuclear</w:t>
            </w:r>
            <w:r>
              <w:t>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The Strategic Index ranks </w:t>
            </w:r>
            <w:r>
              <w:t>upstream batteries</w:t>
            </w:r>
            <w:r>
              <w:t xml:space="preserve"> </w:t>
            </w:r>
            <w:r>
              <w:t>1st</w:t>
            </w:r>
            <w:r>
              <w:t xml:space="preserve"> among </w:t>
            </w:r>
            <w:r>
              <w:t>Hungary</w:t>
            </w:r>
            <w:r>
              <w:t xml:space="preserve">'s own sectors. When data-based priority is set against policy activity, </w:t>
            </w:r>
            <w:r>
              <w:t>upstream batteries and midstream solar</w:t>
            </w:r>
            <w:r>
              <w:t xml:space="preserve"> combine </w:t>
            </w:r>
            <w:r>
              <w:t>top priority with the most policy</w:t>
            </w:r>
            <w:r>
              <w:t>, and no sector combines top priority with the least policy.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The Partnership Strength Index rates </w:t>
            </w:r>
            <w:r>
              <w:t>Germany</w:t>
            </w:r>
            <w:r>
              <w:t xml:space="preserve"> highest for </w:t>
            </w:r>
            <w:r>
              <w:t>Hungary</w:t>
            </w:r>
            <w:r>
              <w:t xml:space="preserve">, as an </w:t>
            </w:r>
            <w:r>
              <w:t>export market</w:t>
            </w:r>
            <w:r>
              <w:t xml:space="preserve">. </w:t>
            </w:r>
            <w:r>
              <w:t>Germany</w:t>
            </w:r>
            <w:r>
              <w:t xml:space="preserve"> is also its </w:t>
            </w:r>
            <w:r>
              <w:t>1st</w:t>
            </w:r>
            <w:r>
              <w:t xml:space="preserve"> trade partner, while </w:t>
            </w:r>
            <w:r>
              <w:t>China</w:t>
            </w:r>
            <w:r>
              <w:t xml:space="preserve"> and </w:t>
            </w:r>
            <w:r>
              <w:t>Russia</w:t>
            </w:r>
            <w:r>
              <w:t xml:space="preserve">, its </w:t>
            </w:r>
            <w:r>
              <w:t>3rd</w:t>
            </w:r>
            <w:r>
              <w:t xml:space="preserve"> and </w:t>
            </w:r>
            <w:r>
              <w:t>4th</w:t>
            </w:r>
            <w:r>
              <w:t xml:space="preserve">, rank </w:t>
            </w:r>
            <w:r>
              <w:t>44th</w:t>
            </w:r>
            <w:r>
              <w:t xml:space="preserve"> and </w:t>
            </w:r>
            <w:r>
              <w:t>70th</w:t>
            </w:r>
            <w:r>
              <w:t xml:space="preserve"> on Partnership Strength.</w:t>
            </w:r>
            <w:r>
              <w:rPr>
                <w:color w:val="4B5563"/>
                <w:vertAlign w:val="superscript"/>
              </w:rPr>
              <w:t>1,2</w:t>
            </w:r>
          </w:p>
        </w:tc>
      </w:tr>
    </w:tbl>
    <w:p/>
    <w:p>
      <w:pPr>
        <w:pStyle w:val="Heading1"/>
      </w:pPr>
      <w:r>
        <w:t>1. Energy security risks and why</w:t>
      </w:r>
    </w:p>
    <w:p>
      <w:r>
        <w:t>12</w:t>
      </w:r>
      <w:r>
        <w:t xml:space="preserve"> of </w:t>
      </w:r>
      <w:r>
        <w:t>Hungary</w:t>
      </w:r>
      <w:r>
        <w:t xml:space="preserve">'s </w:t>
      </w:r>
      <w:r>
        <w:t>30</w:t>
      </w:r>
      <w:r>
        <w:t xml:space="preserve"> placed sectors, those whose scores can both be compared with other economies, sit in the two low-energy-security corners, against </w:t>
      </w:r>
      <w:r>
        <w:t>17</w:t>
      </w:r>
      <w:r>
        <w:t xml:space="preserve"> in the two high-opportunity corners. Energy Security measures how well a country can rely on what it needs in a sector, from own production and reserves to import needs; higher means more secure.</w:t>
      </w:r>
      <w:r>
        <w:rPr>
          <w:color w:val="4B5563"/>
          <w:vertAlign w:val="superscript"/>
        </w:rPr>
        <w:t>1</w:t>
      </w:r>
    </w:p>
    <w:p>
      <w:r>
        <w:t xml:space="preserve">Against other economies in the same sector, its Energy Security is lowest in </w:t>
      </w:r>
      <w:r>
        <w:t>downstream coal</w:t>
      </w:r>
      <w:r>
        <w:t xml:space="preserve">, </w:t>
      </w:r>
      <w:r>
        <w:t>upstream gas</w:t>
      </w:r>
      <w:r>
        <w:t xml:space="preserve"> and </w:t>
      </w:r>
      <w:r>
        <w:t>downstream wind</w:t>
      </w:r>
      <w:r>
        <w:t xml:space="preserve">. It scores </w:t>
      </w:r>
      <w:r>
        <w:t>0.38</w:t>
      </w:r>
      <w:r>
        <w:t xml:space="preserve">, </w:t>
      </w:r>
      <w:r>
        <w:t>0.26</w:t>
      </w:r>
      <w:r>
        <w:t xml:space="preserve"> and </w:t>
      </w:r>
      <w:r>
        <w:t>0.37</w:t>
      </w:r>
      <w:r>
        <w:t xml:space="preserve"> there, higher than only </w:t>
      </w:r>
      <w:r>
        <w:t>11%</w:t>
      </w:r>
      <w:r>
        <w:t xml:space="preserve">, </w:t>
      </w:r>
      <w:r>
        <w:t>11%</w:t>
      </w:r>
      <w:r>
        <w:t xml:space="preserve"> and </w:t>
      </w:r>
      <w:r>
        <w:t>13%</w:t>
      </w:r>
      <w:r>
        <w:t xml:space="preserve"> of the other economies scored in each sector. Of these, </w:t>
      </w:r>
      <w:r>
        <w:t>downstream coal</w:t>
      </w:r>
      <w:r>
        <w:t xml:space="preserve"> and </w:t>
      </w:r>
      <w:r>
        <w:t>downstream wind</w:t>
      </w:r>
      <w:r>
        <w:t xml:space="preserve"> sit in the </w:t>
      </w:r>
      <w:r>
        <w:t>Secure</w:t>
      </w:r>
      <w:r>
        <w:t xml:space="preserve"> corner, which pairs low energy security with low opportunity.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downstream coal</w:t>
      </w:r>
      <w:r>
        <w:t xml:space="preserve">, the score is low mainly because of energy access: consumption per person changed by </w:t>
      </w:r>
      <w:r>
        <w:t>-76.8%</w:t>
      </w:r>
      <w:r>
        <w:t xml:space="preserve"> in the years to </w:t>
      </w:r>
      <w:r>
        <w:t>2025</w:t>
      </w:r>
      <w:r>
        <w:t xml:space="preserve">. On that measure it scores higher than only </w:t>
      </w:r>
      <w:r>
        <w:t>5%</w:t>
      </w:r>
      <w:r>
        <w:t xml:space="preserve"> of the other economies.</w:t>
      </w:r>
      <w:r>
        <w:rPr>
          <w:color w:val="4B5563"/>
          <w:vertAlign w:val="superscript"/>
        </w:rPr>
        <w:t>1,3</w:t>
      </w:r>
    </w:p>
    <w:p>
      <w:r>
        <w:t>Hungary</w:t>
      </w:r>
      <w:r>
        <w:t xml:space="preserve">'s high-priority sectors in Country Insights are those in the </w:t>
      </w:r>
      <w:r>
        <w:t>Upgrade</w:t>
      </w:r>
      <w:r>
        <w:t xml:space="preserve"> corner, which pairs low energy security with high opportunity: </w:t>
      </w:r>
      <w:r>
        <w:t>upstream solar, upstream gas and upstream oil</w:t>
      </w:r>
      <w:r>
        <w:t xml:space="preserve">. In </w:t>
      </w:r>
      <w:r>
        <w:t>upstream gas</w:t>
      </w:r>
      <w:r>
        <w:t xml:space="preserve">, the score is pulled down mainly by reserves and trade. Its gas reserves are not reported by the source, which the index counts as zero: its reserves score is </w:t>
      </w:r>
      <w:r>
        <w:t>0.00</w:t>
      </w:r>
      <w:r>
        <w:t xml:space="preserve">, against a median of </w:t>
      </w:r>
      <w:r>
        <w:t>0.18</w:t>
      </w:r>
      <w:r>
        <w:t xml:space="preserve">. Its trade deficit in these goods was </w:t>
      </w:r>
      <w:r>
        <w:t>1.9% of GDP</w:t>
      </w:r>
      <w:r>
        <w:t xml:space="preserve"> in </w:t>
      </w:r>
      <w:r>
        <w:t>2023</w:t>
      </w:r>
      <w:r>
        <w:t xml:space="preserve">. For context, its largest suppliers in </w:t>
      </w:r>
      <w:r>
        <w:t>2024</w:t>
      </w:r>
      <w:r>
        <w:t xml:space="preserve"> were </w:t>
      </w:r>
      <w:r>
        <w:t>Russia</w:t>
      </w:r>
      <w:r>
        <w:t xml:space="preserve"> (</w:t>
      </w:r>
      <w:r>
        <w:t>74.8%</w:t>
      </w:r>
      <w:r>
        <w:t xml:space="preserve"> of its imports) and </w:t>
      </w:r>
      <w:r>
        <w:t>Serbia</w:t>
      </w:r>
      <w:r>
        <w:t xml:space="preserve"> (</w:t>
      </w:r>
      <w:r>
        <w:t>14.4%</w:t>
      </w:r>
      <w:r>
        <w:t>).</w:t>
      </w:r>
      <w:r>
        <w:rPr>
          <w:color w:val="4B5563"/>
          <w:vertAlign w:val="superscript"/>
        </w:rPr>
        <w:t>1,2,4</w:t>
      </w:r>
    </w:p>
    <w:p>
      <w:r>
        <w:t xml:space="preserve">In </w:t>
      </w:r>
      <w:r>
        <w:t>upstream oil</w:t>
      </w:r>
      <w:r>
        <w:t xml:space="preserve"> it scores </w:t>
      </w:r>
      <w:r>
        <w:t>0.41</w:t>
      </w:r>
      <w:r>
        <w:t xml:space="preserve">, higher than </w:t>
      </w:r>
      <w:r>
        <w:t>45%</w:t>
      </w:r>
      <w:r>
        <w:t xml:space="preserve"> of the other economies scored, and its reserves score is also </w:t>
      </w:r>
      <w:r>
        <w:t>0.00</w:t>
      </w:r>
      <w:r>
        <w:t xml:space="preserve">. For context, </w:t>
      </w:r>
      <w:r>
        <w:t>Russia</w:t>
      </w:r>
      <w:r>
        <w:t xml:space="preserve"> supplied </w:t>
      </w:r>
      <w:r>
        <w:t>56.3%</w:t>
      </w:r>
      <w:r>
        <w:t xml:space="preserve"> of its imports in </w:t>
      </w:r>
      <w:r>
        <w:t>2024</w:t>
      </w:r>
      <w:r>
        <w:t>.</w:t>
      </w:r>
      <w:r>
        <w:rPr>
          <w:color w:val="4B5563"/>
          <w:vertAlign w:val="superscript"/>
        </w:rPr>
        <w:t>1,2</w:t>
      </w:r>
    </w:p>
    <w:p>
      <w:pPr>
        <w:pStyle w:val="Heading1"/>
      </w:pPr>
      <w:r>
        <w:t>2. Economic opportunities and why</w:t>
      </w:r>
    </w:p>
    <w:p>
      <w:r>
        <w:t>Hungary</w:t>
      </w:r>
      <w:r>
        <w:t xml:space="preserve">'s openings are broad: </w:t>
      </w:r>
      <w:r>
        <w:t>17</w:t>
      </w:r>
      <w:r>
        <w:t xml:space="preserve"> of its placed sectors sit in the two high-opportunity corners. Economic Opportunity measures how well placed a country is to create value in a sector, from exports and market share to investment, costs, demand and related capabilities.</w:t>
      </w:r>
      <w:r>
        <w:rPr>
          <w:color w:val="4B5563"/>
          <w:vertAlign w:val="superscript"/>
        </w:rPr>
        <w:t>1</w:t>
      </w:r>
    </w:p>
    <w:p>
      <w:r>
        <w:t xml:space="preserve">Against other economies in the same sector, its Economic Opportunity is highest in </w:t>
      </w:r>
      <w:r>
        <w:t>midstream electric vehicles</w:t>
      </w:r>
      <w:r>
        <w:t xml:space="preserve">, </w:t>
      </w:r>
      <w:r>
        <w:t>midstream batteries</w:t>
      </w:r>
      <w:r>
        <w:t xml:space="preserve"> and </w:t>
      </w:r>
      <w:r>
        <w:t>upstream nuclear</w:t>
      </w:r>
      <w:r>
        <w:t xml:space="preserve">, higher than </w:t>
      </w:r>
      <w:r>
        <w:t>97%</w:t>
      </w:r>
      <w:r>
        <w:t xml:space="preserve">, </w:t>
      </w:r>
      <w:r>
        <w:t>96%</w:t>
      </w:r>
      <w:r>
        <w:t xml:space="preserve"> and </w:t>
      </w:r>
      <w:r>
        <w:t>95%</w:t>
      </w:r>
      <w:r>
        <w:t xml:space="preserve"> of the other economies scored. All of them sit in the </w:t>
      </w:r>
      <w:r>
        <w:t>Grow</w:t>
      </w:r>
      <w:r>
        <w:t xml:space="preserve"> corner.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midstream electric vehicles</w:t>
      </w:r>
      <w:r>
        <w:t xml:space="preserve">, investment pushes the score up most: on annual investment and on growth in investment it scores higher than </w:t>
      </w:r>
      <w:r>
        <w:t>98%</w:t>
      </w:r>
      <w:r>
        <w:t xml:space="preserve"> and </w:t>
      </w:r>
      <w:r>
        <w:t>99%</w:t>
      </w:r>
      <w:r>
        <w:t xml:space="preserve"> of the other economies. For context, it exported </w:t>
      </w:r>
      <w:r>
        <w:t>USD 22.4 bn</w:t>
      </w:r>
      <w:r>
        <w:t xml:space="preserve"> of these goods in </w:t>
      </w:r>
      <w:r>
        <w:t>2024</w:t>
      </w:r>
      <w:r>
        <w:t xml:space="preserve">, </w:t>
      </w:r>
      <w:r>
        <w:t>37.5%</w:t>
      </w:r>
      <w:r>
        <w:t xml:space="preserve"> of them to </w:t>
      </w:r>
      <w:r>
        <w:t>Germany</w:t>
      </w:r>
      <w:r>
        <w:t>.</w:t>
      </w:r>
      <w:r>
        <w:rPr>
          <w:color w:val="4B5563"/>
          <w:vertAlign w:val="superscript"/>
        </w:rPr>
        <w:t>1,2</w:t>
      </w:r>
    </w:p>
    <w:p>
      <w:r>
        <w:t xml:space="preserve">In </w:t>
      </w:r>
      <w:r>
        <w:t>midstream batteries</w:t>
      </w:r>
      <w:r>
        <w:t xml:space="preserve">, investment and trade push the score up: its share of world exports was </w:t>
      </w:r>
      <w:r>
        <w:t>4.7%</w:t>
      </w:r>
      <w:r>
        <w:t xml:space="preserve"> in </w:t>
      </w:r>
      <w:r>
        <w:t>2023</w:t>
      </w:r>
      <w:r>
        <w:t xml:space="preserve">. In </w:t>
      </w:r>
      <w:r>
        <w:t>upstream nuclear</w:t>
      </w:r>
      <w:r>
        <w:t xml:space="preserve">, production pushes it up: on production it scores higher than </w:t>
      </w:r>
      <w:r>
        <w:t>91%</w:t>
      </w:r>
      <w:r>
        <w:t xml:space="preserve"> of the other economies.</w:t>
      </w:r>
      <w:r>
        <w:rPr>
          <w:color w:val="4B5563"/>
          <w:vertAlign w:val="superscript"/>
        </w:rPr>
        <w:t>1,4</w:t>
      </w:r>
    </w:p>
    <w:p>
      <w:r>
        <w:t xml:space="preserve">The paper's framework associates the Grow corner, where </w:t>
      </w:r>
      <w:r>
        <w:t>14</w:t>
      </w:r>
      <w:r>
        <w:t xml:space="preserve"> of its sectors sit, with export promotion. It associates the Upgrade corner, where </w:t>
      </w:r>
      <w:r>
        <w:t>3</w:t>
      </w:r>
      <w:r>
        <w:t xml:space="preserve"> sit, with building domestic capability, a posture RMI (2025) calls leapfrogging.</w:t>
      </w:r>
      <w:r>
        <w:rPr>
          <w:color w:val="4B5563"/>
          <w:vertAlign w:val="superscript"/>
        </w:rPr>
        <w:t>1</w:t>
      </w:r>
    </w:p>
    <w:p>
      <w:pPr>
        <w:pStyle w:val="Heading1"/>
      </w:pPr>
      <w:r>
        <w:t>3. Sectoral priorities and the existing policy posture</w:t>
      </w:r>
    </w:p>
    <w:p>
      <w:r>
        <w:t xml:space="preserve">The Strategic Index ranks a country's own sectors by opportunity, security need, policy activity, stage and low-emission value. Among </w:t>
      </w:r>
      <w:r>
        <w:t>Hungary</w:t>
      </w:r>
      <w:r>
        <w:t xml:space="preserve">'s own sectors, it ranks </w:t>
      </w:r>
      <w:r>
        <w:t>upstream batteries</w:t>
      </w:r>
      <w:r>
        <w:t xml:space="preserve"> </w:t>
      </w:r>
      <w:r>
        <w:t>1st</w:t>
      </w:r>
      <w:r>
        <w:t xml:space="preserve"> (</w:t>
      </w:r>
      <w:r>
        <w:t>0.65</w:t>
      </w:r>
      <w:r>
        <w:t xml:space="preserve">), </w:t>
      </w:r>
      <w:r>
        <w:t>0.015</w:t>
      </w:r>
      <w:r>
        <w:t xml:space="preserve"> ahead of the next. Next come </w:t>
      </w:r>
      <w:r>
        <w:t>upstream wind</w:t>
      </w:r>
      <w:r>
        <w:t xml:space="preserve"> (</w:t>
      </w:r>
      <w:r>
        <w:t>2nd</w:t>
      </w:r>
      <w:r>
        <w:t xml:space="preserve">), </w:t>
      </w:r>
      <w:r>
        <w:t>upstream electric grid</w:t>
      </w:r>
      <w:r>
        <w:t xml:space="preserve"> (</w:t>
      </w:r>
      <w:r>
        <w:t>3rd</w:t>
      </w:r>
      <w:r>
        <w:t xml:space="preserve">), </w:t>
      </w:r>
      <w:r>
        <w:t>upstream solar</w:t>
      </w:r>
      <w:r>
        <w:t xml:space="preserve"> (</w:t>
      </w:r>
      <w:r>
        <w:t>4th</w:t>
      </w:r>
      <w:r>
        <w:t xml:space="preserve">) and </w:t>
      </w:r>
      <w:r>
        <w:t>downstream wind</w:t>
      </w:r>
      <w:r>
        <w:t xml:space="preserve"> (</w:t>
      </w:r>
      <w:r>
        <w:t>5th</w:t>
      </w:r>
      <w:r>
        <w:t>), each almost tied with the sector below it.</w:t>
      </w:r>
      <w:r>
        <w:rPr>
          <w:color w:val="4B5563"/>
          <w:vertAlign w:val="superscript"/>
        </w:rPr>
        <w:t>1</w:t>
      </w:r>
    </w:p>
    <w:p>
      <w:r>
        <w:t>Hungary</w:t>
      </w:r>
      <w:r>
        <w:t xml:space="preserve">'s allied pick in the network design is </w:t>
      </w:r>
      <w:r>
        <w:t>midstream nuclear</w:t>
      </w:r>
      <w:r>
        <w:t xml:space="preserve"> (</w:t>
      </w:r>
      <w:r>
        <w:t>0.61</w:t>
      </w:r>
      <w:r>
        <w:t xml:space="preserve">), ranked </w:t>
      </w:r>
      <w:r>
        <w:t>7th</w:t>
      </w:r>
      <w:r>
        <w:t xml:space="preserve"> and almost tied with the runner-up, </w:t>
      </w:r>
      <w:r>
        <w:t>midstream wind</w:t>
      </w:r>
      <w:r>
        <w:t xml:space="preserve"> (</w:t>
      </w:r>
      <w:r>
        <w:t>0.002</w:t>
      </w:r>
      <w:r>
        <w:t xml:space="preserve"> apart). The pick is </w:t>
      </w:r>
      <w:r>
        <w:t>Hungary</w:t>
      </w:r>
      <w:r>
        <w:t xml:space="preserve">'s first upstream or midstream sector on the Strategic Index after a resource-base screen. The upstream sectors ranked above it, </w:t>
      </w:r>
      <w:r>
        <w:t>upstream batteries</w:t>
      </w:r>
      <w:r>
        <w:t xml:space="preserve">, </w:t>
      </w:r>
      <w:r>
        <w:t>upstream wind</w:t>
      </w:r>
      <w:r>
        <w:t xml:space="preserve">, </w:t>
      </w:r>
      <w:r>
        <w:t>upstream electric grid</w:t>
      </w:r>
      <w:r>
        <w:t xml:space="preserve"> and </w:t>
      </w:r>
      <w:r>
        <w:t>upstream solar</w:t>
      </w:r>
      <w:r>
        <w:t>, are screened out because no resource base is recorded for them.</w:t>
      </w:r>
      <w:r>
        <w:rPr>
          <w:color w:val="4B5563"/>
          <w:vertAlign w:val="superscript"/>
        </w:rPr>
        <w:t>1,5</w:t>
      </w:r>
    </w:p>
    <w:p>
      <w:r>
        <w:t xml:space="preserve">Country Insights splits the sectors into thirds by data-based priority (the Strategic Index without its policy term) and again by policy activity. On that comparison, </w:t>
      </w:r>
      <w:r>
        <w:t>upstream batteries and midstream solar</w:t>
      </w:r>
      <w:r>
        <w:t xml:space="preserve"> combine </w:t>
      </w:r>
      <w:r>
        <w:t>top priority with the most policy</w:t>
      </w:r>
      <w:r>
        <w:t xml:space="preserve">, and no sector combines top priority with the least policy. At the other end, </w:t>
      </w:r>
      <w:r>
        <w:t>downstream geothermal and downstream green hydrogen</w:t>
      </w:r>
      <w:r>
        <w:t xml:space="preserve"> combine </w:t>
      </w:r>
      <w:r>
        <w:t>bottom priority with the most policy</w:t>
      </w:r>
      <w:r>
        <w:t xml:space="preserve">. The </w:t>
      </w:r>
      <w:r>
        <w:t>7</w:t>
      </w:r>
      <w:r>
        <w:t xml:space="preserve"> sectors that combine </w:t>
      </w:r>
      <w:r>
        <w:t>bottom priority with the least policy</w:t>
      </w:r>
      <w:r>
        <w:t xml:space="preserve"> include every coal and oil sector.</w:t>
      </w:r>
      <w:r>
        <w:rPr>
          <w:color w:val="4B5563"/>
          <w:vertAlign w:val="superscript"/>
        </w:rPr>
        <w:t>1</w:t>
      </w:r>
    </w:p>
    <w:p>
      <w:r>
        <w:t xml:space="preserve">The Climate Action Tracker rating that </w:t>
      </w:r>
      <w:r>
        <w:t>Hungary</w:t>
      </w:r>
      <w:r>
        <w:t xml:space="preserve"> carries is "</w:t>
      </w:r>
      <w:r>
        <w:t>Insufficient</w:t>
      </w:r>
      <w:r>
        <w:t>" (</w:t>
      </w:r>
      <w:r>
        <w:t>November 2024</w:t>
      </w:r>
      <w:r>
        <w:t xml:space="preserve">). </w:t>
      </w:r>
      <w:r>
        <w:t>Hungary</w:t>
      </w:r>
      <w:r>
        <w:t xml:space="preserve"> has </w:t>
      </w:r>
      <w:r>
        <w:t>156</w:t>
      </w:r>
      <w:r>
        <w:t xml:space="preserve"> International Energy Agency Policies and Measures records, </w:t>
      </w:r>
      <w:r>
        <w:t>75</w:t>
      </w:r>
      <w:r>
        <w:t xml:space="preserve"> of which name a technology.</w:t>
      </w:r>
      <w:r>
        <w:rPr>
          <w:color w:val="4B5563"/>
          <w:vertAlign w:val="superscript"/>
        </w:rPr>
        <w:t>6,7</w:t>
      </w:r>
    </w:p>
    <w:p>
      <w:pPr>
        <w:pStyle w:val="Heading1"/>
      </w:pPr>
      <w:r>
        <w:t>4. Partnership priorities and why</w:t>
      </w:r>
    </w:p>
    <w:p>
      <w:r>
        <w:t xml:space="preserve">The Partnership Strength Index scores partners in energy supply chains as reliable suppliers (Friendshore), export markets (Partnership Opportunity) and development partners (Development Potential). It rates </w:t>
      </w:r>
      <w:r>
        <w:t>Germany</w:t>
      </w:r>
      <w:r>
        <w:t xml:space="preserve"> highest for </w:t>
      </w:r>
      <w:r>
        <w:t>Hungary</w:t>
      </w:r>
      <w:r>
        <w:t xml:space="preserve"> (</w:t>
      </w:r>
      <w:r>
        <w:t>0.96</w:t>
      </w:r>
      <w:r>
        <w:t xml:space="preserve">), as an </w:t>
      </w:r>
      <w:r>
        <w:t>export market</w:t>
      </w:r>
      <w:r>
        <w:t xml:space="preserve">, strongest in </w:t>
      </w:r>
      <w:r>
        <w:t>midstream batteries, midstream electric vehicles, midstream solar, midstream wind and midstream electric grid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The </w:t>
      </w:r>
      <w:r>
        <w:t>Czech Republic</w:t>
      </w:r>
      <w:r>
        <w:t xml:space="preserve"> ranks </w:t>
      </w:r>
      <w:r>
        <w:t>2nd</w:t>
      </w:r>
      <w:r>
        <w:t xml:space="preserve">, scoring best as a </w:t>
      </w:r>
      <w:r>
        <w:t>reliable supplier</w:t>
      </w:r>
      <w:r>
        <w:t xml:space="preserve">, and the </w:t>
      </w:r>
      <w:r>
        <w:t>Slovak Republic</w:t>
      </w:r>
      <w:r>
        <w:t xml:space="preserve"> </w:t>
      </w:r>
      <w:r>
        <w:t>3rd</w:t>
      </w:r>
      <w:r>
        <w:t xml:space="preserve">, scoring best as an </w:t>
      </w:r>
      <w:r>
        <w:t>export market</w:t>
      </w:r>
      <w:r>
        <w:t xml:space="preserve">. The </w:t>
      </w:r>
      <w:r>
        <w:t>United States</w:t>
      </w:r>
      <w:r>
        <w:t xml:space="preserve"> (</w:t>
      </w:r>
      <w:r>
        <w:t>4th</w:t>
      </w:r>
      <w:r>
        <w:t xml:space="preserve">) and </w:t>
      </w:r>
      <w:r>
        <w:t>Austria</w:t>
      </w:r>
      <w:r>
        <w:t xml:space="preserve"> (</w:t>
      </w:r>
      <w:r>
        <w:t>5th</w:t>
      </w:r>
      <w:r>
        <w:t xml:space="preserve">) follow, each scoring best as a </w:t>
      </w:r>
      <w:r>
        <w:t>reliable supplier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Today's trade matches part of this ranking. On average across its energy-goods baskets, </w:t>
      </w:r>
      <w:r>
        <w:t>Germany</w:t>
      </w:r>
      <w:r>
        <w:t xml:space="preserve"> is </w:t>
      </w:r>
      <w:r>
        <w:t>Hungary</w:t>
      </w:r>
      <w:r>
        <w:t xml:space="preserve">'s </w:t>
      </w:r>
      <w:r>
        <w:t>1st</w:t>
      </w:r>
      <w:r>
        <w:t xml:space="preserve"> trade partner and the </w:t>
      </w:r>
      <w:r>
        <w:t>Slovak Republic</w:t>
      </w:r>
      <w:r>
        <w:t xml:space="preserve"> its </w:t>
      </w:r>
      <w:r>
        <w:t>2nd</w:t>
      </w:r>
      <w:r>
        <w:t xml:space="preserve">. </w:t>
      </w:r>
      <w:r>
        <w:t>Austria</w:t>
      </w:r>
      <w:r>
        <w:t xml:space="preserve"> is its </w:t>
      </w:r>
      <w:r>
        <w:t>8th</w:t>
      </w:r>
      <w:r>
        <w:t xml:space="preserve">, the </w:t>
      </w:r>
      <w:r>
        <w:t>United States</w:t>
      </w:r>
      <w:r>
        <w:t xml:space="preserve"> its </w:t>
      </w:r>
      <w:r>
        <w:t>10th</w:t>
      </w:r>
      <w:r>
        <w:t xml:space="preserve"> and the </w:t>
      </w:r>
      <w:r>
        <w:t>Czech Republic</w:t>
      </w:r>
      <w:r>
        <w:t xml:space="preserve"> only its </w:t>
      </w:r>
      <w:r>
        <w:t>11th</w:t>
      </w:r>
      <w:r>
        <w:t xml:space="preserve">. All of them vote in the </w:t>
      </w:r>
      <w:r>
        <w:t>same bloc</w:t>
      </w:r>
      <w:r>
        <w:t xml:space="preserve"> as </w:t>
      </w:r>
      <w:r>
        <w:t>Hungary</w:t>
      </w:r>
      <w:r>
        <w:t xml:space="preserve"> at the UN.</w:t>
      </w:r>
      <w:r>
        <w:rPr>
          <w:color w:val="4B5563"/>
          <w:vertAlign w:val="superscript"/>
        </w:rPr>
        <w:t>1,2,8</w:t>
      </w:r>
    </w:p>
    <w:p>
      <w:r>
        <w:t xml:space="preserve">The reverse cases are </w:t>
      </w:r>
      <w:r>
        <w:t>China</w:t>
      </w:r>
      <w:r>
        <w:t xml:space="preserve"> and </w:t>
      </w:r>
      <w:r>
        <w:t>Russia</w:t>
      </w:r>
      <w:r>
        <w:t xml:space="preserve">, its </w:t>
      </w:r>
      <w:r>
        <w:t>3rd</w:t>
      </w:r>
      <w:r>
        <w:t xml:space="preserve"> and </w:t>
      </w:r>
      <w:r>
        <w:t>4th</w:t>
      </w:r>
      <w:r>
        <w:t xml:space="preserve"> trade partners, which rank </w:t>
      </w:r>
      <w:r>
        <w:t>44th</w:t>
      </w:r>
      <w:r>
        <w:t xml:space="preserve"> and </w:t>
      </w:r>
      <w:r>
        <w:t>70th</w:t>
      </w:r>
      <w:r>
        <w:t xml:space="preserve"> on Partnership Strength. In UN votes, both sit in </w:t>
      </w:r>
      <w:r>
        <w:t>opposite blocs</w:t>
      </w:r>
      <w:r>
        <w:t xml:space="preserve"> to </w:t>
      </w:r>
      <w:r>
        <w:t>Hungary</w:t>
      </w:r>
      <w:r>
        <w:t>.</w:t>
      </w:r>
      <w:r>
        <w:rPr>
          <w:color w:val="4B5563"/>
          <w:vertAlign w:val="superscript"/>
        </w:rPr>
        <w:t>1,2,8</w:t>
      </w:r>
    </w:p>
    <w:p>
      <w:r>
        <w:t xml:space="preserve">As a partner to the coalition, </w:t>
      </w:r>
      <w:r>
        <w:t>Hungary</w:t>
      </w:r>
      <w:r>
        <w:t xml:space="preserve"> ranks </w:t>
      </w:r>
      <w:r>
        <w:t>20th</w:t>
      </w:r>
      <w:r>
        <w:t xml:space="preserve"> of </w:t>
      </w:r>
      <w:r>
        <w:t>192</w:t>
      </w:r>
      <w:r>
        <w:t xml:space="preserve"> economies. In the allied network design it produces within the EU, and its largest derived share is </w:t>
      </w:r>
      <w:r>
        <w:t>2.2%</w:t>
      </w:r>
      <w:r>
        <w:t xml:space="preserve"> of designed coalition production in </w:t>
      </w:r>
      <w:r>
        <w:t>midstream batteries</w:t>
      </w:r>
      <w:r>
        <w:t>.</w:t>
      </w:r>
      <w:r>
        <w:rPr>
          <w:color w:val="4B5563"/>
          <w:vertAlign w:val="superscript"/>
        </w:rPr>
        <w:t>1,5</w:t>
      </w:r>
    </w:p>
    <w:p>
      <w:pPr>
        <w:pStyle w:val="Heading1"/>
      </w:pPr>
      <w:r>
        <w:t>5. Data notes and caveats</w:t>
      </w:r>
    </w:p>
    <w:p>
      <w:r>
        <w:t xml:space="preserve">Values are as of </w:t>
      </w:r>
      <w:r>
        <w:t>12 October 2026</w:t>
      </w:r>
      <w:r>
        <w:t>; Country Insights has more.</w:t>
      </w:r>
    </w:p>
    <w:p>
      <w:pPr>
        <w:pStyle w:val="ListBullet"/>
      </w:pPr>
      <w:r>
        <w:t>Scores compare Hungary with other economies in the same sector; they are not measures of risk or profit in absolute terms.</w:t>
      </w:r>
    </w:p>
    <w:p>
      <w:pPr>
        <w:pStyle w:val="ListBullet"/>
      </w:pPr>
      <w:r>
        <w:t>All index values are the paper's baseline as of 12 October 2026; Strategic Insights recomputes them under other weightings.</w:t>
      </w:r>
    </w:p>
    <w:p>
      <w:pPr>
        <w:pStyle w:val="ListBullet"/>
      </w:pPr>
      <w:r>
        <w:t>Some figures behind these scores are filled in where the source has no value: with zero where a source lists every holder, otherwise with the world average.</w:t>
      </w:r>
    </w:p>
    <w:p>
      <w:pPr>
        <w:pStyle w:val="ListBullet"/>
      </w:pPr>
      <w:r>
        <w:t>Strategic Index scores within 0.01 of each other are almost tied: small changes in the data or the weights can swap their order.</w:t>
      </w:r>
    </w:p>
    <w:p>
      <w:pPr>
        <w:pStyle w:val="ListBullet"/>
      </w:pPr>
      <w:r>
        <w:t>Many allied picks are close calls: in the paper, 37% of them are within 0.01 of the runner-up.</w:t>
      </w:r>
    </w:p>
    <w:p>
      <w:pPr>
        <w:pStyle w:val="ListBullet"/>
      </w:pPr>
      <w:r>
        <w:t>The Climate Action Tracker rates the EU as a whole; Hungary carries the EU's rating.</w:t>
      </w:r>
    </w:p>
    <w:p>
      <w:pPr>
        <w:pStyle w:val="ListBullet"/>
      </w:pPr>
      <w:r>
        <w:t>Hungary's counts leave out the EU's own 438 International Energy Agency policy records.</w:t>
      </w:r>
    </w:p>
    <w:p>
      <w:pPr>
        <w:pStyle w:val="ListBullet"/>
      </w:pPr>
      <w:r>
        <w:t>Trade figures count trade with other EU members.</w:t>
      </w:r>
    </w:p>
    <w:p>
      <w:pPr>
        <w:pStyle w:val="ListBullet"/>
      </w:pPr>
      <w:r>
        <w:t>In the allied network design the European Union is one producer; Hungary's shares are derived from its weight within the EU.</w:t>
      </w:r>
    </w:p>
    <w:p>
      <w:pPr>
        <w:pStyle w:val="Heading2"/>
        <w:pBdr>
          <w:top w:val="single" w:sz="4" w:space="4" w:color="D1D5DB"/>
        </w:pBdr>
      </w:pPr>
      <w:r>
        <w:t>Sources</w:t>
      </w:r>
    </w:p>
    <w:p>
      <w:pPr>
        <w:pStyle w:val="ListNumber"/>
      </w:pPr>
      <w:r>
        <w:rPr>
          <w:sz w:val="17"/>
        </w:rPr>
        <w:t>Energy Security, Economic Opportunity, Strategic Index and Partnership Strength Index, paper baseline (Opportunity Security Indices pipeline); CC BY 4.0 (the paper's indices).</w:t>
      </w:r>
    </w:p>
    <w:p>
      <w:pPr>
        <w:pStyle w:val="ListNumber"/>
      </w:pPr>
      <w:r>
        <w:rPr>
          <w:sz w:val="17"/>
        </w:rPr>
        <w:t>United Nations, UN Comtrade Database, HS6 bilateral trade (all reporters), 2020 and 2024; reconciled by the authors (pulled 2026-10-07 to 2026-10-09); attribution; https://comtradeplus.un.org/.</w:t>
      </w:r>
    </w:p>
    <w:p>
      <w:pPr>
        <w:pStyle w:val="ListNumber"/>
      </w:pPr>
      <w:r>
        <w:rPr>
          <w:sz w:val="17"/>
        </w:rPr>
        <w:t>Energy Institute, Statistical Review of World Energy 2026 (data to 2025); attribution; https://www.energyinst.org/statistical-review.</w:t>
      </w:r>
    </w:p>
    <w:p>
      <w:pPr>
        <w:pStyle w:val="ListNumber"/>
      </w:pPr>
      <w:r>
        <w:rPr>
          <w:sz w:val="17"/>
        </w:rPr>
        <w:t>Growth Lab at Harvard University, The Atlas of Economic Complexity, HS92 6-digit country-product-year data (data to 2023); attribution; https://atlas.hks.harvard.edu/.</w:t>
      </w:r>
    </w:p>
    <w:p>
      <w:pPr>
        <w:pStyle w:val="ListNumber"/>
      </w:pPr>
      <w:r>
        <w:rPr>
          <w:sz w:val="17"/>
        </w:rPr>
        <w:t>Allied network design (the paper's model design of coalition production shares).</w:t>
      </w:r>
    </w:p>
    <w:p>
      <w:pPr>
        <w:pStyle w:val="ListNumber"/>
      </w:pPr>
      <w:r>
        <w:rPr>
          <w:sz w:val="17"/>
        </w:rPr>
        <w:t>Climate Action Tracker, country ratings (ratings updated 2022-2025); attribution; https://climateactiontracker.org/.</w:t>
      </w:r>
    </w:p>
    <w:p>
      <w:pPr>
        <w:pStyle w:val="ListNumber"/>
      </w:pPr>
      <w:r>
        <w:rPr>
          <w:sz w:val="17"/>
        </w:rPr>
        <w:t>International Energy Agency, Policies and Measures Database (export of 2026-09-30); attribution; https://www.iea.org/policies.</w:t>
      </w:r>
    </w:p>
    <w:p>
      <w:pPr>
        <w:pStyle w:val="ListNumber"/>
      </w:pPr>
      <w:r>
        <w:rPr>
          <w:sz w:val="17"/>
        </w:rPr>
        <w:t>Bailey, M., Strezhnev, A. and Voeten, E., United Nations General Assembly Voting Data, ideal points (Harvard Dataverse V39.0) (sessions to 2023); attribution; https://dataverse.harvard.edu/dataset.xhtml?persistentId=hdl:1902.1/12379.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8"/>
        </w:rPr>
        <w:t>AI-generated from the data and checked against it; paper baseline as of 12 October 2026.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  <w:color w:val="4B5563"/>
        <w:sz w:val="16"/>
      </w:rPr>
      <w:t>AI-generated from the data and checked against it; paper baseline as of 12 October 2026.  Allied Industrial Base Explorer, Country Insights: Hungary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118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Hungary: energy security, economic opportunity and partnership priorities</dc:title>
  <dc:subject>Country Insights policy memo</dc:subject>
  <dc:creator>NEIS Center, Allied Industrial Base Explorer (AI-generated, checked against the data)</dc:creator>
  <cp:keywords>energy security; economic opportunity; Strategic Index; Partnership Strength Index; HUN</cp:keywords>
  <dc:description>paper baseline as of 12 October 2026; fact sheet sha256 566eec26eda80b7c0a2c405e4ec8b3824ab3754dfab4b0c1dd85f3c6e26f2761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