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Ireland: energy security, economic opportunity and partnership priorities</w:t>
      </w:r>
    </w:p>
    <w:p>
      <w:r>
        <w:rPr>
          <w:color w:val="4B5563"/>
          <w:sz w:val="18"/>
        </w:rPr>
        <w:t>Policy memo · Country Insights · Allied Industrial Base Explorer · NEIS Center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9"/>
        </w:rPr>
        <w:t>AI-generated from the data and checked against it; paper baseline as of 12 October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3F4F6"/>
            <w:tcBorders>
              <w:top w:val="nil"/>
              <w:left w:val="single" w:sz="24" w:space="0" w:color="F58229"/>
              <w:bottom w:val="nil"/>
              <w:right w:val="nil"/>
            </w:tcBorders>
            <w:tcMar>
              <w:top w:w="120" w:type="dxa"/>
              <w:left w:w="200" w:type="dxa"/>
              <w:bottom w:w="80" w:type="dxa"/>
              <w:right w:w="160" w:type="dxa"/>
            </w:tcMar>
          </w:tcPr>
          <w:p>
            <w:r>
              <w:rPr>
                <w:b/>
                <w:sz w:val="24"/>
              </w:rPr>
              <w:t>Summary</w:t>
            </w:r>
          </w:p>
          <w:p>
            <w:pPr>
              <w:pStyle w:val="ListBullet"/>
            </w:pPr>
            <w:r>
              <w:t>Ireland</w:t>
            </w:r>
            <w:r>
              <w:t xml:space="preserve"> is most exposed in </w:t>
            </w:r>
            <w:r>
              <w:t>upstream nuclear</w:t>
            </w:r>
            <w:r>
              <w:t xml:space="preserve">, </w:t>
            </w:r>
            <w:r>
              <w:t>downstream coal</w:t>
            </w:r>
            <w:r>
              <w:t xml:space="preserve"> and </w:t>
            </w:r>
            <w:r>
              <w:t>upstream oil</w:t>
            </w:r>
            <w:r>
              <w:t xml:space="preserve">, where its Energy Security is higher than only </w:t>
            </w:r>
            <w:r>
              <w:t>11%</w:t>
            </w:r>
            <w:r>
              <w:t xml:space="preserve">, </w:t>
            </w:r>
            <w:r>
              <w:t>15%</w:t>
            </w:r>
            <w:r>
              <w:t xml:space="preserve"> and </w:t>
            </w:r>
            <w:r>
              <w:t>22%</w:t>
            </w:r>
            <w:r>
              <w:t xml:space="preserve"> of the other economies scored. Its oil production falls short of consumption.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Its strongest openings are in </w:t>
            </w:r>
            <w:r>
              <w:t>downstream geothermal</w:t>
            </w:r>
            <w:r>
              <w:t xml:space="preserve">, </w:t>
            </w:r>
            <w:r>
              <w:t>upstream green hydrogen</w:t>
            </w:r>
            <w:r>
              <w:t xml:space="preserve"> and </w:t>
            </w:r>
            <w:r>
              <w:t>downstream green hydrogen</w:t>
            </w:r>
            <w:r>
              <w:t xml:space="preserve">, where its Economic Opportunity is higher than </w:t>
            </w:r>
            <w:r>
              <w:t>94%</w:t>
            </w:r>
            <w:r>
              <w:t xml:space="preserve">, </w:t>
            </w:r>
            <w:r>
              <w:t>92%</w:t>
            </w:r>
            <w:r>
              <w:t xml:space="preserve"> and </w:t>
            </w:r>
            <w:r>
              <w:t>90%</w:t>
            </w:r>
            <w:r>
              <w:t xml:space="preserve"> of the other economies scored. Each is lifted by cost competitiveness, growth in use or both.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On the paper's weighting, the Strategic Index puts </w:t>
            </w:r>
            <w:r>
              <w:t>upstream nuclear</w:t>
            </w:r>
            <w:r>
              <w:t xml:space="preserve"> </w:t>
            </w:r>
            <w:r>
              <w:t>1st</w:t>
            </w:r>
            <w:r>
              <w:t xml:space="preserve"> among </w:t>
            </w:r>
            <w:r>
              <w:t>Ireland</w:t>
            </w:r>
            <w:r>
              <w:t xml:space="preserve">'s own sectors, almost tied with </w:t>
            </w:r>
            <w:r>
              <w:t>upstream wind</w:t>
            </w:r>
            <w:r>
              <w:t xml:space="preserve">; policy activity places it in the </w:t>
            </w:r>
            <w:r>
              <w:t>middle</w:t>
            </w:r>
            <w:r>
              <w:t xml:space="preserve"> group.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The Partnership Strength Index rates the </w:t>
            </w:r>
            <w:r>
              <w:t>United States</w:t>
            </w:r>
            <w:r>
              <w:t xml:space="preserve"> highest for </w:t>
            </w:r>
            <w:r>
              <w:t>Ireland</w:t>
            </w:r>
            <w:r>
              <w:t xml:space="preserve">, as a </w:t>
            </w:r>
            <w:r>
              <w:t>reliable supplier</w:t>
            </w:r>
            <w:r>
              <w:t xml:space="preserve">; it is also </w:t>
            </w:r>
            <w:r>
              <w:t>Ireland</w:t>
            </w:r>
            <w:r>
              <w:t xml:space="preserve">'s </w:t>
            </w:r>
            <w:r>
              <w:t>2nd</w:t>
            </w:r>
            <w:r>
              <w:t xml:space="preserve"> trade partner, while </w:t>
            </w:r>
            <w:r>
              <w:t>China</w:t>
            </w:r>
            <w:r>
              <w:t xml:space="preserve">, its </w:t>
            </w:r>
            <w:r>
              <w:t>7th</w:t>
            </w:r>
            <w:r>
              <w:t xml:space="preserve">, ranks </w:t>
            </w:r>
            <w:r>
              <w:t>52nd</w:t>
            </w:r>
            <w:r>
              <w:t xml:space="preserve"> on Partnership Strength.</w:t>
            </w:r>
            <w:r>
              <w:rPr>
                <w:color w:val="4B5563"/>
                <w:vertAlign w:val="superscript"/>
              </w:rPr>
              <w:t>1,2</w:t>
            </w:r>
          </w:p>
        </w:tc>
      </w:tr>
    </w:tbl>
    <w:p/>
    <w:p>
      <w:pPr>
        <w:pStyle w:val="Heading1"/>
      </w:pPr>
      <w:r>
        <w:t>1. Energy security risks and why</w:t>
      </w:r>
    </w:p>
    <w:p>
      <w:r>
        <w:t>15</w:t>
      </w:r>
      <w:r>
        <w:t xml:space="preserve"> of </w:t>
      </w:r>
      <w:r>
        <w:t>Ireland</w:t>
      </w:r>
      <w:r>
        <w:t xml:space="preserve">'s </w:t>
      </w:r>
      <w:r>
        <w:t>30</w:t>
      </w:r>
      <w:r>
        <w:t xml:space="preserve"> placed sectors, those where both scores can be compared with other economies, sit in the two low-energy-security corners. Compared with other economies in each sector, its Energy Security is lowest in </w:t>
      </w:r>
      <w:r>
        <w:t>upstream nuclear</w:t>
      </w:r>
      <w:r>
        <w:t xml:space="preserve">, </w:t>
      </w:r>
      <w:r>
        <w:t>downstream coal</w:t>
      </w:r>
      <w:r>
        <w:t xml:space="preserve">, </w:t>
      </w:r>
      <w:r>
        <w:t>upstream oil</w:t>
      </w:r>
      <w:r>
        <w:t xml:space="preserve"> and </w:t>
      </w:r>
      <w:r>
        <w:t>midstream batteries</w:t>
      </w:r>
      <w:r>
        <w:t xml:space="preserve">. It is higher than only </w:t>
      </w:r>
      <w:r>
        <w:t>11%</w:t>
      </w:r>
      <w:r>
        <w:t xml:space="preserve">, </w:t>
      </w:r>
      <w:r>
        <w:t>15%</w:t>
      </w:r>
      <w:r>
        <w:t xml:space="preserve">, </w:t>
      </w:r>
      <w:r>
        <w:t>22%</w:t>
      </w:r>
      <w:r>
        <w:t xml:space="preserve"> and </w:t>
      </w:r>
      <w:r>
        <w:t>25%</w:t>
      </w:r>
      <w:r>
        <w:t xml:space="preserve"> of the other </w:t>
      </w:r>
      <w:r>
        <w:t>174</w:t>
      </w:r>
      <w:r>
        <w:t xml:space="preserve">, </w:t>
      </w:r>
      <w:r>
        <w:t>98</w:t>
      </w:r>
      <w:r>
        <w:t xml:space="preserve">, </w:t>
      </w:r>
      <w:r>
        <w:t>96</w:t>
      </w:r>
      <w:r>
        <w:t xml:space="preserve"> and </w:t>
      </w:r>
      <w:r>
        <w:t>53</w:t>
      </w:r>
      <w:r>
        <w:t xml:space="preserve"> economies scored, with scores of </w:t>
      </w:r>
      <w:r>
        <w:t>0.16</w:t>
      </w:r>
      <w:r>
        <w:t xml:space="preserve">, </w:t>
      </w:r>
      <w:r>
        <w:t>0.39</w:t>
      </w:r>
      <w:r>
        <w:t xml:space="preserve">, </w:t>
      </w:r>
      <w:r>
        <w:t>0.37</w:t>
      </w:r>
      <w:r>
        <w:t xml:space="preserve"> and </w:t>
      </w:r>
      <w:r>
        <w:t>0.31</w:t>
      </w:r>
      <w:r>
        <w:t xml:space="preserve">. Of these, </w:t>
      </w:r>
      <w:r>
        <w:t>upstream nuclear</w:t>
      </w:r>
      <w:r>
        <w:t xml:space="preserve"> sits in the </w:t>
      </w:r>
      <w:r>
        <w:t>Upgrade</w:t>
      </w:r>
      <w:r>
        <w:t xml:space="preserve"> corner and the others in the </w:t>
      </w:r>
      <w:r>
        <w:t>Secure</w:t>
      </w:r>
      <w:r>
        <w:t xml:space="preserve"> corner. The paper's framework associates the Upgrade corner with building domestic capability and the Secure corner with securing supply through partners.</w:t>
      </w:r>
      <w:r>
        <w:rPr>
          <w:color w:val="4B5563"/>
          <w:vertAlign w:val="superscript"/>
        </w:rPr>
        <w:t>1</w:t>
      </w:r>
    </w:p>
    <w:p>
      <w:r>
        <w:t xml:space="preserve">The data mark </w:t>
      </w:r>
      <w:r>
        <w:t>upstream nuclear, upstream wind and downstream solar</w:t>
      </w:r>
      <w:r>
        <w:t xml:space="preserve"> as its high-priority sectors. In </w:t>
      </w:r>
      <w:r>
        <w:t>upstream nuclear</w:t>
      </w:r>
      <w:r>
        <w:t xml:space="preserve">, trade pulls the score down: </w:t>
      </w:r>
      <w:r>
        <w:t>Ireland</w:t>
      </w:r>
      <w:r>
        <w:t xml:space="preserve">'s share of world exports of these goods was </w:t>
      </w:r>
      <w:r>
        <w:t>0.0%</w:t>
      </w:r>
      <w:r>
        <w:t xml:space="preserve"> in </w:t>
      </w:r>
      <w:r>
        <w:t>2023</w:t>
      </w:r>
      <w:r>
        <w:t xml:space="preserve">. In </w:t>
      </w:r>
      <w:r>
        <w:t>upstream wind</w:t>
      </w:r>
      <w:r>
        <w:t xml:space="preserve">, trade also pulls the score down: on its trade deficit in these goods, </w:t>
      </w:r>
      <w:r>
        <w:t>&lt;0.1% of GDP</w:t>
      </w:r>
      <w:r>
        <w:t xml:space="preserve"> in </w:t>
      </w:r>
      <w:r>
        <w:t>2023</w:t>
      </w:r>
      <w:r>
        <w:t xml:space="preserve">, it scores higher than only </w:t>
      </w:r>
      <w:r>
        <w:t>6%</w:t>
      </w:r>
      <w:r>
        <w:t xml:space="preserve"> of the other economies.</w:t>
      </w:r>
      <w:r>
        <w:rPr>
          <w:color w:val="4B5563"/>
          <w:vertAlign w:val="superscript"/>
        </w:rPr>
        <w:t>1,3</w:t>
      </w:r>
    </w:p>
    <w:p>
      <w:r>
        <w:t xml:space="preserve">In </w:t>
      </w:r>
      <w:r>
        <w:t>upstream oil</w:t>
      </w:r>
      <w:r>
        <w:t xml:space="preserve">, import needs and reserves pull the score down. Production minus consumption was </w:t>
      </w:r>
      <w:r>
        <w:t>-0.303 EJ</w:t>
      </w:r>
      <w:r>
        <w:t xml:space="preserve"> in </w:t>
      </w:r>
      <w:r>
        <w:t>2025</w:t>
      </w:r>
      <w:r>
        <w:t xml:space="preserve">, with </w:t>
      </w:r>
      <w:r>
        <w:t>production from the U.S. Energy Information Administration's international statistics, as the Energy Institute does not report it separately</w:t>
      </w:r>
      <w:r>
        <w:t xml:space="preserve">. No oil reserves are recorded, which the index counts as zero. In </w:t>
      </w:r>
      <w:r>
        <w:t>downstream coal</w:t>
      </w:r>
      <w:r>
        <w:t xml:space="preserve">, energy access pulls it down: over the years to </w:t>
      </w:r>
      <w:r>
        <w:t>2025</w:t>
      </w:r>
      <w:r>
        <w:t xml:space="preserve">, consumption per person changed by </w:t>
      </w:r>
      <w:r>
        <w:t>-69.2%</w:t>
      </w:r>
      <w:r>
        <w:t xml:space="preserve">, to </w:t>
      </w:r>
      <w:r>
        <w:t>2.24 GJ per person</w:t>
      </w:r>
      <w:r>
        <w:t xml:space="preserve">. In </w:t>
      </w:r>
      <w:r>
        <w:t>midstream batteries</w:t>
      </w:r>
      <w:r>
        <w:t>, investment pulls it down: no investment or manufacturing capacity is recorded, which the index counts as zero.</w:t>
      </w:r>
      <w:r>
        <w:rPr>
          <w:color w:val="4B5563"/>
          <w:vertAlign w:val="superscript"/>
        </w:rPr>
        <w:t>4,5</w:t>
      </w:r>
    </w:p>
    <w:p>
      <w:r>
        <w:t xml:space="preserve">For context, its largest suppliers in </w:t>
      </w:r>
      <w:r>
        <w:t>upstream oil</w:t>
      </w:r>
      <w:r>
        <w:t xml:space="preserve"> in </w:t>
      </w:r>
      <w:r>
        <w:t>2024</w:t>
      </w:r>
      <w:r>
        <w:t xml:space="preserve"> were the </w:t>
      </w:r>
      <w:r>
        <w:t>United States</w:t>
      </w:r>
      <w:r>
        <w:t xml:space="preserve"> (</w:t>
      </w:r>
      <w:r>
        <w:t>24.8%</w:t>
      </w:r>
      <w:r>
        <w:t xml:space="preserve"> of imports, which totalled </w:t>
      </w:r>
      <w:r>
        <w:t>USD 5.54 bn</w:t>
      </w:r>
      <w:r>
        <w:t xml:space="preserve">) and the </w:t>
      </w:r>
      <w:r>
        <w:t>Netherlands</w:t>
      </w:r>
      <w:r>
        <w:t xml:space="preserve"> (</w:t>
      </w:r>
      <w:r>
        <w:t>23.6%</w:t>
      </w:r>
      <w:r>
        <w:t xml:space="preserve">). In </w:t>
      </w:r>
      <w:r>
        <w:t>upstream wind</w:t>
      </w:r>
      <w:r>
        <w:t xml:space="preserve">, </w:t>
      </w:r>
      <w:r>
        <w:t>Norway</w:t>
      </w:r>
      <w:r>
        <w:t xml:space="preserve"> supplied </w:t>
      </w:r>
      <w:r>
        <w:t>99.2%</w:t>
      </w:r>
      <w:r>
        <w:t xml:space="preserve"> of its imports.</w:t>
      </w:r>
      <w:r>
        <w:rPr>
          <w:color w:val="4B5563"/>
          <w:vertAlign w:val="superscript"/>
        </w:rPr>
        <w:t>2</w:t>
      </w:r>
    </w:p>
    <w:p>
      <w:pPr>
        <w:pStyle w:val="Heading1"/>
      </w:pPr>
      <w:r>
        <w:t>2. Economic opportunities and why</w:t>
      </w:r>
    </w:p>
    <w:p>
      <w:r>
        <w:t>24</w:t>
      </w:r>
      <w:r>
        <w:t xml:space="preserve"> of the </w:t>
      </w:r>
      <w:r>
        <w:t>30</w:t>
      </w:r>
      <w:r>
        <w:t xml:space="preserve"> placed sectors sit in the two high-opportunity corners, where Economic Opportunity is above the sector's middle economy. Compared with other economies in each sector, its Economic Opportunity is highest in </w:t>
      </w:r>
      <w:r>
        <w:t>downstream geothermal</w:t>
      </w:r>
      <w:r>
        <w:t xml:space="preserve">, </w:t>
      </w:r>
      <w:r>
        <w:t>upstream green hydrogen</w:t>
      </w:r>
      <w:r>
        <w:t xml:space="preserve">, </w:t>
      </w:r>
      <w:r>
        <w:t>downstream green hydrogen</w:t>
      </w:r>
      <w:r>
        <w:t xml:space="preserve"> and </w:t>
      </w:r>
      <w:r>
        <w:t>midstream green hydrogen</w:t>
      </w:r>
      <w:r>
        <w:t xml:space="preserve">. It is higher than </w:t>
      </w:r>
      <w:r>
        <w:t>94%</w:t>
      </w:r>
      <w:r>
        <w:t xml:space="preserve">, </w:t>
      </w:r>
      <w:r>
        <w:t>92%</w:t>
      </w:r>
      <w:r>
        <w:t xml:space="preserve">, </w:t>
      </w:r>
      <w:r>
        <w:t>90%</w:t>
      </w:r>
      <w:r>
        <w:t xml:space="preserve"> and </w:t>
      </w:r>
      <w:r>
        <w:t>90%</w:t>
      </w:r>
      <w:r>
        <w:t xml:space="preserve"> of the other </w:t>
      </w:r>
      <w:r>
        <w:t>102</w:t>
      </w:r>
      <w:r>
        <w:t xml:space="preserve">, </w:t>
      </w:r>
      <w:r>
        <w:t>83</w:t>
      </w:r>
      <w:r>
        <w:t xml:space="preserve">, </w:t>
      </w:r>
      <w:r>
        <w:t>157</w:t>
      </w:r>
      <w:r>
        <w:t xml:space="preserve"> and </w:t>
      </w:r>
      <w:r>
        <w:t>39</w:t>
      </w:r>
      <w:r>
        <w:t xml:space="preserve"> economies scored. Of these, </w:t>
      </w:r>
      <w:r>
        <w:t>downstream geothermal</w:t>
      </w:r>
      <w:r>
        <w:t xml:space="preserve"> sits in the </w:t>
      </w:r>
      <w:r>
        <w:t>Upgrade</w:t>
      </w:r>
      <w:r>
        <w:t xml:space="preserve"> corner and the others in the </w:t>
      </w:r>
      <w:r>
        <w:t>Grow</w:t>
      </w:r>
      <w:r>
        <w:t xml:space="preserve"> corner.</w:t>
      </w:r>
      <w:r>
        <w:rPr>
          <w:color w:val="4B5563"/>
          <w:vertAlign w:val="superscript"/>
        </w:rPr>
        <w:t>1</w:t>
      </w:r>
    </w:p>
    <w:p>
      <w:r>
        <w:t xml:space="preserve">Cost competitiveness pushes the score up in </w:t>
      </w:r>
      <w:r>
        <w:t>downstream geothermal</w:t>
      </w:r>
      <w:r>
        <w:t xml:space="preserve"> and </w:t>
      </w:r>
      <w:r>
        <w:t>upstream green hydrogen</w:t>
      </w:r>
      <w:r>
        <w:t xml:space="preserve">: on input costs of labour and capital, </w:t>
      </w:r>
      <w:r>
        <w:t>Ireland</w:t>
      </w:r>
      <w:r>
        <w:t xml:space="preserve"> scores higher than </w:t>
      </w:r>
      <w:r>
        <w:t>88%</w:t>
      </w:r>
      <w:r>
        <w:t xml:space="preserve"> and </w:t>
      </w:r>
      <w:r>
        <w:t>95%</w:t>
      </w:r>
      <w:r>
        <w:t xml:space="preserve"> of the other economies respectively. In </w:t>
      </w:r>
      <w:r>
        <w:t>downstream green hydrogen</w:t>
      </w:r>
      <w:r>
        <w:t xml:space="preserve">, consumption pushes it up: on expected growth in use per person it scores higher than </w:t>
      </w:r>
      <w:r>
        <w:t>81%</w:t>
      </w:r>
      <w:r>
        <w:t xml:space="preserve"> of the other economies, and on use per person today higher than </w:t>
      </w:r>
      <w:r>
        <w:t>83%</w:t>
      </w:r>
      <w:r>
        <w:t>.</w:t>
      </w:r>
      <w:r>
        <w:rPr>
          <w:color w:val="4B5563"/>
          <w:vertAlign w:val="superscript"/>
        </w:rPr>
        <w:t>1</w:t>
      </w:r>
    </w:p>
    <w:p>
      <w:r>
        <w:t xml:space="preserve">Among the high-priority sectors, </w:t>
      </w:r>
      <w:r>
        <w:t>downstream solar</w:t>
      </w:r>
      <w:r>
        <w:t xml:space="preserve"> has Economic Opportunity higher than </w:t>
      </w:r>
      <w:r>
        <w:t>88%</w:t>
      </w:r>
      <w:r>
        <w:t xml:space="preserve"> of the other </w:t>
      </w:r>
      <w:r>
        <w:t>147</w:t>
      </w:r>
      <w:r>
        <w:t xml:space="preserve"> economies scored. Cost competitiveness pushes it up: on input costs it scores higher than </w:t>
      </w:r>
      <w:r>
        <w:t>98%</w:t>
      </w:r>
      <w:r>
        <w:t xml:space="preserve"> of the other economies. Its Economic Opportunity in </w:t>
      </w:r>
      <w:r>
        <w:t>upstream nuclear</w:t>
      </w:r>
      <w:r>
        <w:t xml:space="preserve"> and </w:t>
      </w:r>
      <w:r>
        <w:t>upstream wind</w:t>
      </w:r>
      <w:r>
        <w:t xml:space="preserve"> is higher than </w:t>
      </w:r>
      <w:r>
        <w:t>61%</w:t>
      </w:r>
      <w:r>
        <w:t xml:space="preserve"> and </w:t>
      </w:r>
      <w:r>
        <w:t>67%</w:t>
      </w:r>
      <w:r>
        <w:t xml:space="preserve"> of the other economies scored.</w:t>
      </w:r>
      <w:r>
        <w:rPr>
          <w:color w:val="4B5563"/>
          <w:vertAlign w:val="superscript"/>
        </w:rPr>
        <w:t>1</w:t>
      </w:r>
    </w:p>
    <w:p>
      <w:pPr>
        <w:pStyle w:val="Heading1"/>
      </w:pPr>
      <w:r>
        <w:t>3. Sectoral priorities and the existing policy posture</w:t>
      </w:r>
    </w:p>
    <w:p>
      <w:r>
        <w:t xml:space="preserve">The Strategic Index ranks a country's own sectors by combining opportunity, security need, policy activity, the supply-chain stage and the technology's low-emission value. On the paper's weighting, it puts </w:t>
      </w:r>
      <w:r>
        <w:t>upstream nuclear</w:t>
      </w:r>
      <w:r>
        <w:t xml:space="preserve"> </w:t>
      </w:r>
      <w:r>
        <w:t>1st</w:t>
      </w:r>
      <w:r>
        <w:t xml:space="preserve">, </w:t>
      </w:r>
      <w:r>
        <w:t>upstream wind</w:t>
      </w:r>
      <w:r>
        <w:t xml:space="preserve"> </w:t>
      </w:r>
      <w:r>
        <w:t>2nd</w:t>
      </w:r>
      <w:r>
        <w:t xml:space="preserve">, </w:t>
      </w:r>
      <w:r>
        <w:t>upstream solar</w:t>
      </w:r>
      <w:r>
        <w:t xml:space="preserve"> </w:t>
      </w:r>
      <w:r>
        <w:t>3rd</w:t>
      </w:r>
      <w:r>
        <w:t xml:space="preserve">, </w:t>
      </w:r>
      <w:r>
        <w:t>midstream batteries</w:t>
      </w:r>
      <w:r>
        <w:t xml:space="preserve"> </w:t>
      </w:r>
      <w:r>
        <w:t>4th</w:t>
      </w:r>
      <w:r>
        <w:t xml:space="preserve"> and </w:t>
      </w:r>
      <w:r>
        <w:t>downstream solar</w:t>
      </w:r>
      <w:r>
        <w:t xml:space="preserve"> </w:t>
      </w:r>
      <w:r>
        <w:t>5th</w:t>
      </w:r>
      <w:r>
        <w:t xml:space="preserve"> among </w:t>
      </w:r>
      <w:r>
        <w:t>Ireland</w:t>
      </w:r>
      <w:r>
        <w:t xml:space="preserve">'s own sectors. The leader, </w:t>
      </w:r>
      <w:r>
        <w:t>upstream nuclear</w:t>
      </w:r>
      <w:r>
        <w:t xml:space="preserve">, scores </w:t>
      </w:r>
      <w:r>
        <w:t>0.65</w:t>
      </w:r>
      <w:r>
        <w:t xml:space="preserve">, only </w:t>
      </w:r>
      <w:r>
        <w:t>0.007</w:t>
      </w:r>
      <w:r>
        <w:t xml:space="preserve"> ahead of the next, so they are almost tied. Further down, </w:t>
      </w:r>
      <w:r>
        <w:t>upstream solar</w:t>
      </w:r>
      <w:r>
        <w:t xml:space="preserve">, </w:t>
      </w:r>
      <w:r>
        <w:t>midstream batteries</w:t>
      </w:r>
      <w:r>
        <w:t xml:space="preserve"> and </w:t>
      </w:r>
      <w:r>
        <w:t>downstream solar</w:t>
      </w:r>
      <w:r>
        <w:t xml:space="preserve"> are also almost tied, with gaps of </w:t>
      </w:r>
      <w:r>
        <w:t>0.002</w:t>
      </w:r>
      <w:r>
        <w:t xml:space="preserve"> and </w:t>
      </w:r>
      <w:r>
        <w:t>0.003</w:t>
      </w:r>
      <w:r>
        <w:t xml:space="preserve">. In </w:t>
      </w:r>
      <w:r>
        <w:t>upstream nuclear</w:t>
      </w:r>
      <w:r>
        <w:t xml:space="preserve">, security need adds </w:t>
      </w:r>
      <w:r>
        <w:t>0.251</w:t>
      </w:r>
      <w:r>
        <w:t xml:space="preserve"> to the score, against </w:t>
      </w:r>
      <w:r>
        <w:t>0.155</w:t>
      </w:r>
      <w:r>
        <w:t xml:space="preserve"> for opportunity.</w:t>
      </w:r>
      <w:r>
        <w:rPr>
          <w:color w:val="4B5563"/>
          <w:vertAlign w:val="superscript"/>
        </w:rPr>
        <w:t>1</w:t>
      </w:r>
    </w:p>
    <w:p>
      <w:r>
        <w:t xml:space="preserve">The allied pick, the leading upstream or midstream sector after a screen for a resource base, is </w:t>
      </w:r>
      <w:r>
        <w:t>midstream batteries</w:t>
      </w:r>
      <w:r>
        <w:t xml:space="preserve"> (</w:t>
      </w:r>
      <w:r>
        <w:t>0.64</w:t>
      </w:r>
      <w:r>
        <w:t xml:space="preserve">), </w:t>
      </w:r>
      <w:r>
        <w:t>0.024</w:t>
      </w:r>
      <w:r>
        <w:t xml:space="preserve"> ahead of </w:t>
      </w:r>
      <w:r>
        <w:t>midstream solar</w:t>
      </w:r>
      <w:r>
        <w:t xml:space="preserve">. The screen leaves out </w:t>
      </w:r>
      <w:r>
        <w:t>upstream nuclear</w:t>
      </w:r>
      <w:r>
        <w:t xml:space="preserve">, </w:t>
      </w:r>
      <w:r>
        <w:t>upstream wind</w:t>
      </w:r>
      <w:r>
        <w:t xml:space="preserve"> and </w:t>
      </w:r>
      <w:r>
        <w:t>upstream solar</w:t>
      </w:r>
      <w:r>
        <w:t xml:space="preserve"> because no resource base is recorded for them.</w:t>
      </w:r>
      <w:r>
        <w:rPr>
          <w:color w:val="4B5563"/>
          <w:vertAlign w:val="superscript"/>
        </w:rPr>
        <w:t>6</w:t>
      </w:r>
    </w:p>
    <w:p>
      <w:r>
        <w:t xml:space="preserve">Comparing priority, the index without its policy term, with policy activity, </w:t>
      </w:r>
      <w:r>
        <w:t>midstream batteries</w:t>
      </w:r>
      <w:r>
        <w:t xml:space="preserve"> and </w:t>
      </w:r>
      <w:r>
        <w:t>midstream solar</w:t>
      </w:r>
      <w:r>
        <w:t xml:space="preserve"> combine </w:t>
      </w:r>
      <w:r>
        <w:t>top priority with the most policy</w:t>
      </w:r>
      <w:r>
        <w:t xml:space="preserve">. No top-priority sector falls in the group with the least policy, while </w:t>
      </w:r>
      <w:r>
        <w:t>downstream green hydrogen</w:t>
      </w:r>
      <w:r>
        <w:t xml:space="preserve"> combines bottom priority with the most policy. The sectors with bottom priority and the least policy are </w:t>
      </w:r>
      <w:r>
        <w:t>upstream oil, midstream gas, midstream oil, upstream coal, downstream coal, midstream coal and downstream oil</w:t>
      </w:r>
      <w:r>
        <w:t xml:space="preserve">. Its leading Strategic Index sector, </w:t>
      </w:r>
      <w:r>
        <w:t>upstream nuclear</w:t>
      </w:r>
      <w:r>
        <w:t xml:space="preserve">, has </w:t>
      </w:r>
      <w:r>
        <w:t>0</w:t>
      </w:r>
      <w:r>
        <w:t xml:space="preserve"> International Energy Agency Policies and Measures records naming the technology. </w:t>
      </w:r>
      <w:r>
        <w:t>Ireland</w:t>
      </w:r>
      <w:r>
        <w:t xml:space="preserve"> carries the Climate Action Tracker rating </w:t>
      </w:r>
      <w:r>
        <w:t>Insufficient</w:t>
      </w:r>
      <w:r>
        <w:t xml:space="preserve"> (</w:t>
      </w:r>
      <w:r>
        <w:t>November 2024</w:t>
      </w:r>
      <w:r>
        <w:t xml:space="preserve">) and has </w:t>
      </w:r>
      <w:r>
        <w:t>183</w:t>
      </w:r>
      <w:r>
        <w:t xml:space="preserve"> Policies and Measures records, </w:t>
      </w:r>
      <w:r>
        <w:t>88</w:t>
      </w:r>
      <w:r>
        <w:t xml:space="preserve"> of which name a technology.</w:t>
      </w:r>
      <w:r>
        <w:rPr>
          <w:color w:val="4B5563"/>
          <w:vertAlign w:val="superscript"/>
        </w:rPr>
        <w:t>1,7,8</w:t>
      </w:r>
    </w:p>
    <w:p>
      <w:pPr>
        <w:pStyle w:val="Heading1"/>
      </w:pPr>
      <w:r>
        <w:t>4. Partnership priorities and why</w:t>
      </w:r>
    </w:p>
    <w:p>
      <w:r>
        <w:t xml:space="preserve">The Partnership Strength Index rates partners as suppliers (Friendshore), as markets for exports (Partnership Opportunity) and, for middle- and lower-income partners, by Development Potential. From </w:t>
      </w:r>
      <w:r>
        <w:t>Ireland</w:t>
      </w:r>
      <w:r>
        <w:t xml:space="preserve">'s viewpoint it ranks the </w:t>
      </w:r>
      <w:r>
        <w:t>United States</w:t>
      </w:r>
      <w:r>
        <w:t xml:space="preserve"> </w:t>
      </w:r>
      <w:r>
        <w:t>1st</w:t>
      </w:r>
      <w:r>
        <w:t xml:space="preserve">, the </w:t>
      </w:r>
      <w:r>
        <w:t>United Kingdom</w:t>
      </w:r>
      <w:r>
        <w:t xml:space="preserve"> </w:t>
      </w:r>
      <w:r>
        <w:t>2nd</w:t>
      </w:r>
      <w:r>
        <w:t xml:space="preserve">, the </w:t>
      </w:r>
      <w:r>
        <w:t>Netherlands</w:t>
      </w:r>
      <w:r>
        <w:t xml:space="preserve"> </w:t>
      </w:r>
      <w:r>
        <w:t>3rd</w:t>
      </w:r>
      <w:r>
        <w:t xml:space="preserve">, </w:t>
      </w:r>
      <w:r>
        <w:t>Germany</w:t>
      </w:r>
      <w:r>
        <w:t xml:space="preserve"> </w:t>
      </w:r>
      <w:r>
        <w:t>4th</w:t>
      </w:r>
      <w:r>
        <w:t xml:space="preserve"> and </w:t>
      </w:r>
      <w:r>
        <w:t>Italy</w:t>
      </w:r>
      <w:r>
        <w:t xml:space="preserve"> </w:t>
      </w:r>
      <w:r>
        <w:t>5th</w:t>
      </w:r>
      <w:r>
        <w:t xml:space="preserve"> of </w:t>
      </w:r>
      <w:r>
        <w:t>189</w:t>
      </w:r>
      <w:r>
        <w:t xml:space="preserve"> partners. The </w:t>
      </w:r>
      <w:r>
        <w:t>United States</w:t>
      </w:r>
      <w:r>
        <w:t xml:space="preserve">, the </w:t>
      </w:r>
      <w:r>
        <w:t>Netherlands</w:t>
      </w:r>
      <w:r>
        <w:t xml:space="preserve"> and </w:t>
      </w:r>
      <w:r>
        <w:t>Germany</w:t>
      </w:r>
      <w:r>
        <w:t xml:space="preserve"> stand out most as a </w:t>
      </w:r>
      <w:r>
        <w:t>reliable supplier</w:t>
      </w:r>
      <w:r>
        <w:t xml:space="preserve">; the </w:t>
      </w:r>
      <w:r>
        <w:t>United States</w:t>
      </w:r>
      <w:r>
        <w:t xml:space="preserve">' best sectors as a supplier are </w:t>
      </w:r>
      <w:r>
        <w:t>upstream nuclear, midstream wind, upstream gas, midstream batteries and upstream wind</w:t>
      </w:r>
      <w:r>
        <w:t xml:space="preserve">. The </w:t>
      </w:r>
      <w:r>
        <w:t>United Kingdom</w:t>
      </w:r>
      <w:r>
        <w:t xml:space="preserve"> and </w:t>
      </w:r>
      <w:r>
        <w:t>Italy</w:t>
      </w:r>
      <w:r>
        <w:t xml:space="preserve"> stand out most as an </w:t>
      </w:r>
      <w:r>
        <w:t>export market</w:t>
      </w:r>
      <w:r>
        <w:t>.</w:t>
      </w:r>
      <w:r>
        <w:rPr>
          <w:color w:val="4B5563"/>
          <w:vertAlign w:val="superscript"/>
        </w:rPr>
        <w:t>1</w:t>
      </w:r>
    </w:p>
    <w:p>
      <w:r>
        <w:t xml:space="preserve">These priorities match today's ties. The </w:t>
      </w:r>
      <w:r>
        <w:t>United Kingdom</w:t>
      </w:r>
      <w:r>
        <w:t xml:space="preserve"> is </w:t>
      </w:r>
      <w:r>
        <w:t>Ireland</w:t>
      </w:r>
      <w:r>
        <w:t xml:space="preserve">'s </w:t>
      </w:r>
      <w:r>
        <w:t>1st</w:t>
      </w:r>
      <w:r>
        <w:t xml:space="preserve"> trade partner on average across its energy-goods baskets, the </w:t>
      </w:r>
      <w:r>
        <w:t>United States</w:t>
      </w:r>
      <w:r>
        <w:t xml:space="preserve"> its </w:t>
      </w:r>
      <w:r>
        <w:t>2nd</w:t>
      </w:r>
      <w:r>
        <w:t xml:space="preserve">, </w:t>
      </w:r>
      <w:r>
        <w:t>Germany</w:t>
      </w:r>
      <w:r>
        <w:t xml:space="preserve"> its </w:t>
      </w:r>
      <w:r>
        <w:t>3rd</w:t>
      </w:r>
      <w:r>
        <w:t xml:space="preserve">, the </w:t>
      </w:r>
      <w:r>
        <w:t>Netherlands</w:t>
      </w:r>
      <w:r>
        <w:t xml:space="preserve"> its </w:t>
      </w:r>
      <w:r>
        <w:t>4th</w:t>
      </w:r>
      <w:r>
        <w:t xml:space="preserve"> and </w:t>
      </w:r>
      <w:r>
        <w:t>Italy</w:t>
      </w:r>
      <w:r>
        <w:t xml:space="preserve"> its </w:t>
      </w:r>
      <w:r>
        <w:t>9th</w:t>
      </w:r>
      <w:r>
        <w:t xml:space="preserve">. Each is </w:t>
      </w:r>
      <w:r>
        <w:t>a priority partner with strong ties today</w:t>
      </w:r>
      <w:r>
        <w:t xml:space="preserve"> and votes in the </w:t>
      </w:r>
      <w:r>
        <w:t>same bloc</w:t>
      </w:r>
      <w:r>
        <w:t xml:space="preserve"> as </w:t>
      </w:r>
      <w:r>
        <w:t>Ireland</w:t>
      </w:r>
      <w:r>
        <w:t xml:space="preserve"> at the UN. </w:t>
      </w:r>
      <w:r>
        <w:t>Norway</w:t>
      </w:r>
      <w:r>
        <w:t xml:space="preserve">, its </w:t>
      </w:r>
      <w:r>
        <w:t>5th</w:t>
      </w:r>
      <w:r>
        <w:t xml:space="preserve"> trade partner, ranks </w:t>
      </w:r>
      <w:r>
        <w:t>22nd</w:t>
      </w:r>
      <w:r>
        <w:t xml:space="preserve"> on Partnership Strength. By contrast, </w:t>
      </w:r>
      <w:r>
        <w:t>China</w:t>
      </w:r>
      <w:r>
        <w:t xml:space="preserve"> is its </w:t>
      </w:r>
      <w:r>
        <w:t>7th</w:t>
      </w:r>
      <w:r>
        <w:t xml:space="preserve"> trade partner but ranks </w:t>
      </w:r>
      <w:r>
        <w:t>52nd</w:t>
      </w:r>
      <w:r>
        <w:t xml:space="preserve">, and they vote in </w:t>
      </w:r>
      <w:r>
        <w:t>opposite blocs</w:t>
      </w:r>
      <w:r>
        <w:t xml:space="preserve"> at the UN.</w:t>
      </w:r>
      <w:r>
        <w:rPr>
          <w:color w:val="4B5563"/>
          <w:vertAlign w:val="superscript"/>
        </w:rPr>
        <w:t>1,2,9</w:t>
      </w:r>
    </w:p>
    <w:p>
      <w:r>
        <w:t xml:space="preserve">As a partner to the coalition, </w:t>
      </w:r>
      <w:r>
        <w:t>Ireland</w:t>
      </w:r>
      <w:r>
        <w:t xml:space="preserve"> ranks </w:t>
      </w:r>
      <w:r>
        <w:t>15th</w:t>
      </w:r>
      <w:r>
        <w:t xml:space="preserve"> of </w:t>
      </w:r>
      <w:r>
        <w:t>192</w:t>
      </w:r>
      <w:r>
        <w:t xml:space="preserve"> economies, on Partnership Strength averaged over the core members' viewpoints. In the allied network design, which spreads production of each upstream and midstream sector across coalition members, its largest designed share is </w:t>
      </w:r>
      <w:r>
        <w:t>0.7%</w:t>
      </w:r>
      <w:r>
        <w:t xml:space="preserve"> of </w:t>
      </w:r>
      <w:r>
        <w:t>midstream green hydrogen</w:t>
      </w:r>
      <w:r>
        <w:t>.</w:t>
      </w:r>
      <w:r>
        <w:rPr>
          <w:color w:val="4B5563"/>
          <w:vertAlign w:val="superscript"/>
        </w:rPr>
        <w:t>1,6</w:t>
      </w:r>
    </w:p>
    <w:p>
      <w:pPr>
        <w:pStyle w:val="Heading1"/>
      </w:pPr>
      <w:r>
        <w:t>5. Data notes and caveats</w:t>
      </w:r>
    </w:p>
    <w:p>
      <w:r>
        <w:t xml:space="preserve">Country Insights shows these values as of </w:t>
      </w:r>
      <w:r>
        <w:t>12 October 2026</w:t>
      </w:r>
      <w:r>
        <w:t xml:space="preserve">. </w:t>
      </w:r>
      <w:r>
        <w:t>Scores compare Ireland with other economies in the same sector; they are not measures of risk or profit in absolute terms.</w:t>
      </w:r>
      <w:r>
        <w:t xml:space="preserve"> </w:t>
      </w:r>
      <w:r>
        <w:t>All index values are the paper's baseline as of 12 October 2026; Strategic Insights recomputes them under other weightings.</w:t>
      </w:r>
      <w:r>
        <w:t xml:space="preserve"> </w:t>
      </w:r>
      <w:r>
        <w:t>Strategic Index scores within 0.01 of each other are almost tied: small changes in the data or the weights can swap their order.</w:t>
      </w:r>
      <w:r>
        <w:t xml:space="preserve"> </w:t>
      </w:r>
      <w:r>
        <w:t>Some figures behind these scores are filled in where the source has no value: with zero where a source lists every holder, otherwise with the world average.</w:t>
      </w:r>
      <w:r>
        <w:t xml:space="preserve"> </w:t>
      </w:r>
      <w:r>
        <w:t>Many allied picks are close calls: in the paper, 37% of them are within 0.01 of the runner-up.</w:t>
      </w:r>
      <w:r>
        <w:t xml:space="preserve"> </w:t>
      </w:r>
      <w:r>
        <w:t>In the allied network design the European Union is one producer; Ireland's shares are derived from its weight within the EU.</w:t>
      </w:r>
      <w:r>
        <w:t xml:space="preserve"> </w:t>
      </w:r>
      <w:r>
        <w:t>The Climate Action Tracker rates the EU as a whole; Ireland carries the EU's rating.</w:t>
      </w:r>
      <w:r>
        <w:t xml:space="preserve"> </w:t>
      </w:r>
      <w:r>
        <w:t>Ireland's counts leave out the EU's own 438 International Energy Agency policy records.</w:t>
      </w:r>
      <w:r>
        <w:t xml:space="preserve"> </w:t>
      </w:r>
      <w:r>
        <w:t>Trade figures count trade with other EU members.</w:t>
      </w:r>
    </w:p>
    <w:p>
      <w:pPr>
        <w:pStyle w:val="Heading2"/>
        <w:pBdr>
          <w:top w:val="single" w:sz="4" w:space="4" w:color="D1D5DB"/>
        </w:pBdr>
      </w:pPr>
      <w:r>
        <w:t>Sources</w:t>
      </w:r>
    </w:p>
    <w:p>
      <w:pPr>
        <w:pStyle w:val="ListNumber"/>
      </w:pPr>
      <w:r>
        <w:rPr>
          <w:sz w:val="17"/>
        </w:rPr>
        <w:t>Energy Security, Economic Opportunity, Strategic Index and Partnership Strength Index, paper baseline (Opportunity Security Indices pipeline); CC BY 4.0 (the paper's indices).</w:t>
      </w:r>
    </w:p>
    <w:p>
      <w:pPr>
        <w:pStyle w:val="ListNumber"/>
      </w:pPr>
      <w:r>
        <w:rPr>
          <w:sz w:val="17"/>
        </w:rPr>
        <w:t>United Nations, UN Comtrade Database, HS6 bilateral trade (all reporters), 2020 and 2024; reconciled by the authors (pulled 2026-10-07 to 2026-10-09); attribution; https://comtradeplus.un.org/.</w:t>
      </w:r>
    </w:p>
    <w:p>
      <w:pPr>
        <w:pStyle w:val="ListNumber"/>
      </w:pPr>
      <w:r>
        <w:rPr>
          <w:sz w:val="17"/>
        </w:rPr>
        <w:t>Growth Lab at Harvard University, The Atlas of Economic Complexity, HS92 6-digit country-product-year data (data to 2023); attribution; https://atlas.hks.harvard.edu/.</w:t>
      </w:r>
    </w:p>
    <w:p>
      <w:pPr>
        <w:pStyle w:val="ListNumber"/>
      </w:pPr>
      <w:r>
        <w:rPr>
          <w:sz w:val="17"/>
        </w:rPr>
        <w:t>Energy Institute, Statistical Review of World Energy 2026 (data to 2025); attribution; https://www.energyinst.org/statistical-review.</w:t>
      </w:r>
    </w:p>
    <w:p>
      <w:pPr>
        <w:pStyle w:val="ListNumber"/>
      </w:pPr>
      <w:r>
        <w:rPr>
          <w:sz w:val="17"/>
        </w:rPr>
        <w:t>U.S. Energy Information Administration, International Energy Statistics, bulk file INTL.zip: crude oil incl. lease condensate, NGPL, dry natural gas and coal production; petroleum and other liquids, dry natural gas and coal consumption, bulk file dated 2026-10-03 (oil production to 2025; gas and coal to 2024); open; https://www.eia.gov/international/data/world.</w:t>
      </w:r>
    </w:p>
    <w:p>
      <w:pPr>
        <w:pStyle w:val="ListNumber"/>
      </w:pPr>
      <w:r>
        <w:rPr>
          <w:sz w:val="17"/>
        </w:rPr>
        <w:t>Allied network design (the paper's model design of coalition production shares).</w:t>
      </w:r>
    </w:p>
    <w:p>
      <w:pPr>
        <w:pStyle w:val="ListNumber"/>
      </w:pPr>
      <w:r>
        <w:rPr>
          <w:sz w:val="17"/>
        </w:rPr>
        <w:t>International Energy Agency, Policies and Measures Database (export of 2026-09-30); attribution; https://www.iea.org/policies.</w:t>
      </w:r>
    </w:p>
    <w:p>
      <w:pPr>
        <w:pStyle w:val="ListNumber"/>
      </w:pPr>
      <w:r>
        <w:rPr>
          <w:sz w:val="17"/>
        </w:rPr>
        <w:t>Climate Action Tracker, country ratings (ratings updated 2022-2025); attribution; https://climateactiontracker.org/.</w:t>
      </w:r>
    </w:p>
    <w:p>
      <w:pPr>
        <w:pStyle w:val="ListNumber"/>
      </w:pPr>
      <w:r>
        <w:rPr>
          <w:sz w:val="17"/>
        </w:rPr>
        <w:t>Bailey, M., Strezhnev, A. and Voeten, E., United Nations General Assembly Voting Data, ideal points (Harvard Dataverse V39.0) (sessions to 2023); attribution; https://dataverse.harvard.edu/dataset.xhtml?persistentId=hdl:1902.1/12379.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8"/>
        </w:rPr>
        <w:t>AI-generated from the data and checked against it; paper baseline as of 12 October 2026.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i/>
        <w:color w:val="4B5563"/>
        <w:sz w:val="16"/>
      </w:rPr>
      <w:t>AI-generated from the data and checked against it; paper baseline as of 12 October 2026.  Allied Industrial Base Explorer, Country Insights: Ireland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1182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11182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11182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Ireland: energy security, economic opportunity and partnership priorities</dc:title>
  <dc:subject>Country Insights policy memo</dc:subject>
  <dc:creator>NEIS Center, Allied Industrial Base Explorer (AI-generated, checked against the data)</dc:creator>
  <cp:keywords>energy security; economic opportunity; Strategic Index; Partnership Strength Index; IRL</cp:keywords>
  <dc:description>paper baseline as of 12 October 2026; fact sheet sha256 cabc910bf64b510465752185cbae654b29df9f13b9120c77eae341df12b5259f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