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Israel: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 xml:space="preserve">Israel is most exposed in </w:t>
            </w:r>
            <w:r>
              <w:t>upstream coal</w:t>
            </w:r>
            <w:r>
              <w:t xml:space="preserve"> and </w:t>
            </w:r>
            <w:r>
              <w:t>midstream electric vehicles</w:t>
            </w:r>
            <w:r>
              <w:t xml:space="preserve">, where its Energy Security is higher than only </w:t>
            </w:r>
            <w:r>
              <w:t>5%</w:t>
            </w:r>
            <w:r>
              <w:t xml:space="preserve"> and </w:t>
            </w:r>
            <w:r>
              <w:t>16%</w:t>
            </w:r>
            <w:r>
              <w:t xml:space="preserve"> of the other economies scored. In coal, production minus consumption was </w:t>
            </w:r>
            <w:r>
              <w:t>-0.0751 EJ</w:t>
            </w:r>
            <w:r>
              <w:t xml:space="preserve"> in </w:t>
            </w:r>
            <w:r>
              <w:t>2025</w:t>
            </w:r>
            <w:r>
              <w:t>.</w:t>
            </w:r>
            <w:r>
              <w:rPr>
                <w:color w:val="4B5563"/>
                <w:vertAlign w:val="superscript"/>
              </w:rPr>
              <w:t>1,2,3</w:t>
            </w:r>
          </w:p>
          <w:p>
            <w:pPr>
              <w:pStyle w:val="ListBullet"/>
            </w:pPr>
            <w:r>
              <w:t xml:space="preserve">Its strongest openings are in </w:t>
            </w:r>
            <w:r>
              <w:t>downstream gas</w:t>
            </w:r>
            <w:r>
              <w:t xml:space="preserve"> and </w:t>
            </w:r>
            <w:r>
              <w:t>upstream nuclear</w:t>
            </w:r>
            <w:r>
              <w:t xml:space="preserve">, where its Economic Opportunity is higher than </w:t>
            </w:r>
            <w:r>
              <w:t>92%</w:t>
            </w:r>
            <w:r>
              <w:t xml:space="preserve"> and </w:t>
            </w:r>
            <w:r>
              <w:t>89%</w:t>
            </w:r>
            <w:r>
              <w:t xml:space="preserve"> of the other economies scored.</w:t>
            </w:r>
            <w:r>
              <w:rPr>
                <w:color w:val="4B5563"/>
                <w:vertAlign w:val="superscript"/>
              </w:rPr>
              <w:t>1</w:t>
            </w:r>
          </w:p>
          <w:p>
            <w:pPr>
              <w:pStyle w:val="ListBullet"/>
            </w:pPr>
            <w:r>
              <w:t xml:space="preserve">On the paper's weighting, the Strategic Index ranks </w:t>
            </w:r>
            <w:r>
              <w:t>upstream batteries</w:t>
            </w:r>
            <w:r>
              <w:t xml:space="preserve"> </w:t>
            </w:r>
            <w:r>
              <w:t>1st</w:t>
            </w:r>
            <w:r>
              <w:t xml:space="preserve"> among Israel's own sectors. Top data-based priority meets the least policy activity in </w:t>
            </w:r>
            <w:r>
              <w:t>upstream nuclear, upstream wind, upstream green hydrogen, upstream electric grid and upstream electric vehicles</w:t>
            </w:r>
            <w:r>
              <w:t>.</w:t>
            </w:r>
            <w:r>
              <w:rPr>
                <w:color w:val="4B5563"/>
                <w:vertAlign w:val="superscript"/>
              </w:rPr>
              <w:t>1</w:t>
            </w:r>
          </w:p>
          <w:p>
            <w:pPr>
              <w:pStyle w:val="ListBullet"/>
            </w:pPr>
            <w:r>
              <w:t xml:space="preserve">The Partnership Strength Index rates the </w:t>
            </w:r>
            <w:r>
              <w:t>United States</w:t>
            </w:r>
            <w:r>
              <w:t xml:space="preserve"> highest for Israel, as a </w:t>
            </w:r>
            <w:r>
              <w:t>reliable supplier</w:t>
            </w:r>
            <w:r>
              <w:t xml:space="preserve">. It is also Israel's </w:t>
            </w:r>
            <w:r>
              <w:t>1st</w:t>
            </w:r>
            <w:r>
              <w:t xml:space="preserve"> trade partner; </w:t>
            </w:r>
            <w:r>
              <w:t>China</w:t>
            </w:r>
            <w:r>
              <w:t xml:space="preserve"> ranks </w:t>
            </w:r>
            <w:r>
              <w:t>2nd</w:t>
            </w:r>
            <w:r>
              <w:t xml:space="preserve"> by trade but </w:t>
            </w:r>
            <w:r>
              <w:t>40th</w:t>
            </w:r>
            <w:r>
              <w:t xml:space="preserve"> on Partnership Strength.</w:t>
            </w:r>
            <w:r>
              <w:rPr>
                <w:color w:val="4B5563"/>
                <w:vertAlign w:val="superscript"/>
              </w:rPr>
              <w:t>1,4</w:t>
            </w:r>
          </w:p>
        </w:tc>
      </w:tr>
    </w:tbl>
    <w:p/>
    <w:p>
      <w:pPr>
        <w:pStyle w:val="Heading1"/>
      </w:pPr>
      <w:r>
        <w:t>1. Energy security risks and why</w:t>
      </w:r>
    </w:p>
    <w:p>
      <w:r>
        <w:t>11</w:t>
      </w:r>
      <w:r>
        <w:t xml:space="preserve"> of Israel's </w:t>
      </w:r>
      <w:r>
        <w:t>27</w:t>
      </w:r>
      <w:r>
        <w:t xml:space="preserve"> placed sectors, those whose scores can be compared with other economies, sit in the two low-energy-security corners, Upgrade and Secure. Energy Security measures how well a country can rely on what it needs in a sector: its own production and reserves, its import needs and how concentrated world supply is.</w:t>
      </w:r>
      <w:r>
        <w:rPr>
          <w:color w:val="4B5563"/>
          <w:vertAlign w:val="superscript"/>
        </w:rPr>
        <w:t>1</w:t>
      </w:r>
    </w:p>
    <w:p>
      <w:r>
        <w:t xml:space="preserve">Its lowest Energy Security percentiles are in </w:t>
      </w:r>
      <w:r>
        <w:t>upstream coal</w:t>
      </w:r>
      <w:r>
        <w:t xml:space="preserve">, </w:t>
      </w:r>
      <w:r>
        <w:t>midstream electric vehicles</w:t>
      </w:r>
      <w:r>
        <w:t xml:space="preserve"> and </w:t>
      </w:r>
      <w:r>
        <w:t>upstream electric grid</w:t>
      </w:r>
      <w:r>
        <w:t xml:space="preserve">. In </w:t>
      </w:r>
      <w:r>
        <w:t>upstream coal</w:t>
      </w:r>
      <w:r>
        <w:t xml:space="preserve"> it scores </w:t>
      </w:r>
      <w:r>
        <w:t>0.24</w:t>
      </w:r>
      <w:r>
        <w:t xml:space="preserve">, higher than only </w:t>
      </w:r>
      <w:r>
        <w:t>5%</w:t>
      </w:r>
      <w:r>
        <w:t xml:space="preserve"> of the other </w:t>
      </w:r>
      <w:r>
        <w:t>95</w:t>
      </w:r>
      <w:r>
        <w:t xml:space="preserve"> economies scored, which places it in the </w:t>
      </w:r>
      <w:r>
        <w:t>Secure</w:t>
      </w:r>
      <w:r>
        <w:t xml:space="preserve"> corner. In </w:t>
      </w:r>
      <w:r>
        <w:t>midstream electric vehicles</w:t>
      </w:r>
      <w:r>
        <w:t xml:space="preserve"> it scores </w:t>
      </w:r>
      <w:r>
        <w:t>0.32</w:t>
      </w:r>
      <w:r>
        <w:t xml:space="preserve">, higher than </w:t>
      </w:r>
      <w:r>
        <w:t>16%</w:t>
      </w:r>
      <w:r>
        <w:t xml:space="preserve">, and in </w:t>
      </w:r>
      <w:r>
        <w:t>upstream electric grid</w:t>
      </w:r>
      <w:r>
        <w:t xml:space="preserve"> </w:t>
      </w:r>
      <w:r>
        <w:t>0.33</w:t>
      </w:r>
      <w:r>
        <w:t xml:space="preserve">, higher than </w:t>
      </w:r>
      <w:r>
        <w:t>25%</w:t>
      </w:r>
      <w:r>
        <w:t xml:space="preserve">; both sit in the </w:t>
      </w:r>
      <w:r>
        <w:t>Secure</w:t>
      </w:r>
      <w:r>
        <w:t xml:space="preserve"> corner.</w:t>
      </w:r>
      <w:r>
        <w:rPr>
          <w:color w:val="4B5563"/>
          <w:vertAlign w:val="superscript"/>
        </w:rPr>
        <w:t>1</w:t>
      </w:r>
    </w:p>
    <w:p>
      <w:r>
        <w:t xml:space="preserve">Its high-priority sectors are the high-opportunity, low-energy-security sectors that the Strategic Index ranks highest. Among them, </w:t>
      </w:r>
      <w:r>
        <w:t>downstream wind</w:t>
      </w:r>
      <w:r>
        <w:t xml:space="preserve"> scores </w:t>
      </w:r>
      <w:r>
        <w:t>0.42</w:t>
      </w:r>
      <w:r>
        <w:t xml:space="preserve">, higher than </w:t>
      </w:r>
      <w:r>
        <w:t>34%</w:t>
      </w:r>
      <w:r>
        <w:t xml:space="preserve"> of the other </w:t>
      </w:r>
      <w:r>
        <w:t>92</w:t>
      </w:r>
      <w:r>
        <w:t xml:space="preserve"> economies. Consumption and investment pull it down: on power capacity per person it scores higher than only </w:t>
      </w:r>
      <w:r>
        <w:t>22%</w:t>
      </w:r>
      <w:r>
        <w:t xml:space="preserve"> of the other economies, and on annual investment higher than </w:t>
      </w:r>
      <w:r>
        <w:t>23%</w:t>
      </w:r>
      <w:r>
        <w:t>.</w:t>
      </w:r>
      <w:r>
        <w:rPr>
          <w:color w:val="4B5563"/>
          <w:vertAlign w:val="superscript"/>
        </w:rPr>
        <w:t>1</w:t>
      </w:r>
    </w:p>
    <w:p>
      <w:r>
        <w:t xml:space="preserve">In </w:t>
      </w:r>
      <w:r>
        <w:t>upstream coal</w:t>
      </w:r>
      <w:r>
        <w:t xml:space="preserve"> the score is low mainly because of import needs and trade. Coal production minus consumption was </w:t>
      </w:r>
      <w:r>
        <w:t>-0.0751 EJ</w:t>
      </w:r>
      <w:r>
        <w:t xml:space="preserve"> in </w:t>
      </w:r>
      <w:r>
        <w:t>2025</w:t>
      </w:r>
      <w:r>
        <w:t xml:space="preserve"> (</w:t>
      </w:r>
      <w:r>
        <w:t>production from the U.S. Energy Information Administration's international statistics, as the Energy Institute does not report it separately</w:t>
      </w:r>
      <w:r>
        <w:t xml:space="preserve">). Its share of world exports of these goods was </w:t>
      </w:r>
      <w:r>
        <w:t>0.0%</w:t>
      </w:r>
      <w:r>
        <w:t xml:space="preserve"> in </w:t>
      </w:r>
      <w:r>
        <w:t>2023</w:t>
      </w:r>
      <w:r>
        <w:t xml:space="preserve">. In </w:t>
      </w:r>
      <w:r>
        <w:t>midstream electric vehicles</w:t>
      </w:r>
      <w:r>
        <w:t xml:space="preserve">, foreign dependency and trade pull the score down. The region it is grouped in made </w:t>
      </w:r>
      <w:r>
        <w:t>0.7%</w:t>
      </w:r>
      <w:r>
        <w:t xml:space="preserve"> of the world's electric vehicles in </w:t>
      </w:r>
      <w:r>
        <w:t>2024</w:t>
      </w:r>
      <w:r>
        <w:t xml:space="preserve">, and Israel's trade deficit in these goods equalled </w:t>
      </w:r>
      <w:r>
        <w:t>0.8% of GDP</w:t>
      </w:r>
      <w:r>
        <w:t xml:space="preserve"> in </w:t>
      </w:r>
      <w:r>
        <w:t>2023</w:t>
      </w:r>
      <w:r>
        <w:t>.</w:t>
      </w:r>
      <w:r>
        <w:rPr>
          <w:color w:val="4B5563"/>
          <w:vertAlign w:val="superscript"/>
        </w:rPr>
        <w:t>2,3,5,6</w:t>
      </w:r>
    </w:p>
    <w:p>
      <w:r>
        <w:t xml:space="preserve">For context, Israel imported </w:t>
      </w:r>
      <w:r>
        <w:t>USD 6.23 bn</w:t>
      </w:r>
      <w:r>
        <w:t xml:space="preserve"> of midstream electric-vehicle goods in </w:t>
      </w:r>
      <w:r>
        <w:t>2024</w:t>
      </w:r>
      <w:r>
        <w:t xml:space="preserve">; its largest suppliers were </w:t>
      </w:r>
      <w:r>
        <w:t>China</w:t>
      </w:r>
      <w:r>
        <w:t xml:space="preserve"> (</w:t>
      </w:r>
      <w:r>
        <w:t>36.6%</w:t>
      </w:r>
      <w:r>
        <w:t xml:space="preserve">) and </w:t>
      </w:r>
      <w:r>
        <w:t>Belgium</w:t>
      </w:r>
      <w:r>
        <w:t xml:space="preserve"> (</w:t>
      </w:r>
      <w:r>
        <w:t>11.1%</w:t>
      </w:r>
      <w:r>
        <w:t>).</w:t>
      </w:r>
      <w:r>
        <w:rPr>
          <w:color w:val="4B5563"/>
          <w:vertAlign w:val="superscript"/>
        </w:rPr>
        <w:t>4</w:t>
      </w:r>
    </w:p>
    <w:p>
      <w:pPr>
        <w:pStyle w:val="Heading1"/>
      </w:pPr>
      <w:r>
        <w:t>2. Economic opportunities and why</w:t>
      </w:r>
    </w:p>
    <w:p>
      <w:r>
        <w:t>19</w:t>
      </w:r>
      <w:r>
        <w:t xml:space="preserve"> of its </w:t>
      </w:r>
      <w:r>
        <w:t>27</w:t>
      </w:r>
      <w:r>
        <w:t xml:space="preserve"> placed sectors sit in the two high-opportunity corners. Economic Opportunity measures how well placed a country is to create value in a sector: exports, related capabilities, investment, costs, demand and technology readiness.</w:t>
      </w:r>
      <w:r>
        <w:rPr>
          <w:color w:val="4B5563"/>
          <w:vertAlign w:val="superscript"/>
        </w:rPr>
        <w:t>1</w:t>
      </w:r>
    </w:p>
    <w:p>
      <w:r>
        <w:t xml:space="preserve">Its highest Economic Opportunity percentiles are in </w:t>
      </w:r>
      <w:r>
        <w:t>downstream gas</w:t>
      </w:r>
      <w:r>
        <w:t xml:space="preserve">, </w:t>
      </w:r>
      <w:r>
        <w:t>upstream nuclear</w:t>
      </w:r>
      <w:r>
        <w:t xml:space="preserve"> and </w:t>
      </w:r>
      <w:r>
        <w:t>midstream gas</w:t>
      </w:r>
      <w:r>
        <w:t xml:space="preserve">, higher than </w:t>
      </w:r>
      <w:r>
        <w:t>92%</w:t>
      </w:r>
      <w:r>
        <w:t xml:space="preserve">, </w:t>
      </w:r>
      <w:r>
        <w:t>89%</w:t>
      </w:r>
      <w:r>
        <w:t xml:space="preserve"> and </w:t>
      </w:r>
      <w:r>
        <w:t>86%</w:t>
      </w:r>
      <w:r>
        <w:t xml:space="preserve"> of the other economies scored in each. All sit in the </w:t>
      </w:r>
      <w:r>
        <w:t>Grow</w:t>
      </w:r>
      <w:r>
        <w:t xml:space="preserve"> corner.</w:t>
      </w:r>
      <w:r>
        <w:rPr>
          <w:color w:val="4B5563"/>
          <w:vertAlign w:val="superscript"/>
        </w:rPr>
        <w:t>1</w:t>
      </w:r>
    </w:p>
    <w:p>
      <w:r>
        <w:t xml:space="preserve">In </w:t>
      </w:r>
      <w:r>
        <w:t>downstream gas</w:t>
      </w:r>
      <w:r>
        <w:t xml:space="preserve">, consumption and energy access push the score up: its consumption in this sector was </w:t>
      </w:r>
      <w:r>
        <w:t>51.3 GJ per person</w:t>
      </w:r>
      <w:r>
        <w:t xml:space="preserve"> in </w:t>
      </w:r>
      <w:r>
        <w:t>2025</w:t>
      </w:r>
      <w:r>
        <w:t xml:space="preserve">. In </w:t>
      </w:r>
      <w:r>
        <w:t>upstream nuclear</w:t>
      </w:r>
      <w:r>
        <w:t xml:space="preserve">, cost competitiveness and trade push it up. On labour and capital costs it scores higher than </w:t>
      </w:r>
      <w:r>
        <w:t>74%</w:t>
      </w:r>
      <w:r>
        <w:t xml:space="preserve"> of the other economies, and its export feasibility, how close these goods are to what it already exports well, is </w:t>
      </w:r>
      <w:r>
        <w:t>0.19</w:t>
      </w:r>
      <w:r>
        <w:t xml:space="preserve"> for </w:t>
      </w:r>
      <w:r>
        <w:t>2023</w:t>
      </w:r>
      <w:r>
        <w:t xml:space="preserve">. In </w:t>
      </w:r>
      <w:r>
        <w:t>midstream gas</w:t>
      </w:r>
      <w:r>
        <w:t xml:space="preserve">, cost competitiveness and trade also push it up: its exports of these goods were </w:t>
      </w:r>
      <w:r>
        <w:t>USD 226 m</w:t>
      </w:r>
      <w:r>
        <w:t xml:space="preserve"> in </w:t>
      </w:r>
      <w:r>
        <w:t>2024</w:t>
      </w:r>
      <w:r>
        <w:t>.</w:t>
      </w:r>
      <w:r>
        <w:rPr>
          <w:color w:val="4B5563"/>
          <w:vertAlign w:val="superscript"/>
        </w:rPr>
        <w:t>1,2,5,7</w:t>
      </w:r>
    </w:p>
    <w:p>
      <w:r>
        <w:t xml:space="preserve">For context, its largest markets in </w:t>
      </w:r>
      <w:r>
        <w:t>midstream gas</w:t>
      </w:r>
      <w:r>
        <w:t xml:space="preserve"> in </w:t>
      </w:r>
      <w:r>
        <w:t>2024</w:t>
      </w:r>
      <w:r>
        <w:t xml:space="preserve"> were </w:t>
      </w:r>
      <w:r>
        <w:t>Greece</w:t>
      </w:r>
      <w:r>
        <w:t xml:space="preserve"> (</w:t>
      </w:r>
      <w:r>
        <w:t>28.2%</w:t>
      </w:r>
      <w:r>
        <w:t xml:space="preserve">), </w:t>
      </w:r>
      <w:r>
        <w:t>Poland</w:t>
      </w:r>
      <w:r>
        <w:t xml:space="preserve"> (</w:t>
      </w:r>
      <w:r>
        <w:t>21.7%</w:t>
      </w:r>
      <w:r>
        <w:t xml:space="preserve">) and the </w:t>
      </w:r>
      <w:r>
        <w:t>United States</w:t>
      </w:r>
      <w:r>
        <w:t xml:space="preserve"> (</w:t>
      </w:r>
      <w:r>
        <w:t>21.0%</w:t>
      </w:r>
      <w:r>
        <w:t>).</w:t>
      </w:r>
      <w:r>
        <w:rPr>
          <w:color w:val="4B5563"/>
          <w:vertAlign w:val="superscript"/>
        </w:rPr>
        <w:t>4</w:t>
      </w:r>
    </w:p>
    <w:p>
      <w:r>
        <w:t xml:space="preserve">The paper's framework associates the Grow corner, high opportunity with high energy security, with building on strength (export promotion in RMI (2025)). In </w:t>
      </w:r>
      <w:r>
        <w:t>upstream wind</w:t>
      </w:r>
      <w:r>
        <w:t xml:space="preserve">, a high-priority sector in the </w:t>
      </w:r>
      <w:r>
        <w:t>Upgrade</w:t>
      </w:r>
      <w:r>
        <w:t xml:space="preserve"> corner, its Economic Opportunity is higher than </w:t>
      </w:r>
      <w:r>
        <w:t>80%</w:t>
      </w:r>
      <w:r>
        <w:t xml:space="preserve"> of the other </w:t>
      </w:r>
      <w:r>
        <w:t>90</w:t>
      </w:r>
      <w:r>
        <w:t xml:space="preserve"> economies. The framework associates that corner with building domestic capability (leapfrogging).</w:t>
      </w:r>
      <w:r>
        <w:rPr>
          <w:color w:val="4B5563"/>
          <w:vertAlign w:val="superscript"/>
        </w:rPr>
        <w:t>1</w:t>
      </w:r>
    </w:p>
    <w:p>
      <w:pPr>
        <w:pStyle w:val="Heading1"/>
      </w:pPr>
      <w:r>
        <w:t>3. Sectoral priorities and the existing policy posture</w:t>
      </w:r>
    </w:p>
    <w:p>
      <w:r>
        <w:t xml:space="preserve">The Strategic Index ranks a country's own sectors by how strongly the data point to prioritising them, adding opportunity, security need, existing policy activity, the stage and the technology's low-emission value. On the paper's weighting, it ranks </w:t>
      </w:r>
      <w:r>
        <w:t>upstream batteries</w:t>
      </w:r>
      <w:r>
        <w:t xml:space="preserve"> </w:t>
      </w:r>
      <w:r>
        <w:t>1st</w:t>
      </w:r>
      <w:r>
        <w:t xml:space="preserve"> among Israel's own sectors at </w:t>
      </w:r>
      <w:r>
        <w:t>0.65</w:t>
      </w:r>
      <w:r>
        <w:t xml:space="preserve">, ahead of </w:t>
      </w:r>
      <w:r>
        <w:t>midstream solar</w:t>
      </w:r>
      <w:r>
        <w:t xml:space="preserve"> by </w:t>
      </w:r>
      <w:r>
        <w:t>0.010</w:t>
      </w:r>
      <w:r>
        <w:t xml:space="preserve">. Security need adds </w:t>
      </w:r>
      <w:r>
        <w:t>0.243</w:t>
      </w:r>
      <w:r>
        <w:t xml:space="preserve"> to that score and opportunity </w:t>
      </w:r>
      <w:r>
        <w:t>0.136</w:t>
      </w:r>
      <w:r>
        <w:t>.</w:t>
      </w:r>
      <w:r>
        <w:rPr>
          <w:color w:val="4B5563"/>
          <w:vertAlign w:val="superscript"/>
        </w:rPr>
        <w:t>1</w:t>
      </w:r>
    </w:p>
    <w:p>
      <w:r>
        <w:t xml:space="preserve">It ranks </w:t>
      </w:r>
      <w:r>
        <w:t>midstream solar</w:t>
      </w:r>
      <w:r>
        <w:t xml:space="preserve"> </w:t>
      </w:r>
      <w:r>
        <w:t>2nd</w:t>
      </w:r>
      <w:r>
        <w:t xml:space="preserve">, </w:t>
      </w:r>
      <w:r>
        <w:t>downstream solar</w:t>
      </w:r>
      <w:r>
        <w:t xml:space="preserve"> </w:t>
      </w:r>
      <w:r>
        <w:t>3rd</w:t>
      </w:r>
      <w:r>
        <w:t xml:space="preserve"> and </w:t>
      </w:r>
      <w:r>
        <w:t>upstream solar</w:t>
      </w:r>
      <w:r>
        <w:t xml:space="preserve"> </w:t>
      </w:r>
      <w:r>
        <w:t>4th</w:t>
      </w:r>
      <w:r>
        <w:t xml:space="preserve">; each is almost tied with the sector ranked after it, at </w:t>
      </w:r>
      <w:r>
        <w:t>0.001</w:t>
      </w:r>
      <w:r>
        <w:t xml:space="preserve">, </w:t>
      </w:r>
      <w:r>
        <w:t>0.005</w:t>
      </w:r>
      <w:r>
        <w:t xml:space="preserve"> and </w:t>
      </w:r>
      <w:r>
        <w:t>0.002</w:t>
      </w:r>
      <w:r>
        <w:t xml:space="preserve"> apart. Israel's allied pick, its first upstream or midstream sector on the Strategic Index after a resource-base screen, is </w:t>
      </w:r>
      <w:r>
        <w:t>midstream solar</w:t>
      </w:r>
      <w:r>
        <w:t xml:space="preserve">. Its top-ranked sector, </w:t>
      </w:r>
      <w:r>
        <w:t>upstream batteries</w:t>
      </w:r>
      <w:r>
        <w:t>, is screened out because no resource base is recorded for it.</w:t>
      </w:r>
      <w:r>
        <w:rPr>
          <w:color w:val="4B5563"/>
          <w:vertAlign w:val="superscript"/>
        </w:rPr>
        <w:t>1,8</w:t>
      </w:r>
    </w:p>
    <w:p>
      <w:r>
        <w:t xml:space="preserve">To compare priorities with policy without counting policy in both, priority is read without the policy term, and both are split into thirds of Israel's sectors. The sectors with top priority and the least policy are </w:t>
      </w:r>
      <w:r>
        <w:t>upstream nuclear, upstream wind, upstream green hydrogen, upstream electric grid and upstream electric vehicles</w:t>
      </w:r>
      <w:r>
        <w:t xml:space="preserve">. In </w:t>
      </w:r>
      <w:r>
        <w:t>upstream wind</w:t>
      </w:r>
      <w:r>
        <w:t xml:space="preserve">, policy activity adds </w:t>
      </w:r>
      <w:r>
        <w:t>0.000</w:t>
      </w:r>
      <w:r>
        <w:t xml:space="preserve"> to the Strategic Index, and </w:t>
      </w:r>
      <w:r>
        <w:t>0</w:t>
      </w:r>
      <w:r>
        <w:t xml:space="preserve"> International Energy Agency Policies and Measures records name both its technology and its stage. The reverse, bottom priority with the most policy, applies to </w:t>
      </w:r>
      <w:r>
        <w:t>downstream electric vehicles, downstream gas and downstream oil</w:t>
      </w:r>
      <w:r>
        <w:t>.</w:t>
      </w:r>
      <w:r>
        <w:rPr>
          <w:color w:val="4B5563"/>
          <w:vertAlign w:val="superscript"/>
        </w:rPr>
        <w:t>1,9</w:t>
      </w:r>
    </w:p>
    <w:p>
      <w:r>
        <w:t xml:space="preserve">With no Climate Action Tracker rating, Israel's policy basis is </w:t>
      </w:r>
      <w:r>
        <w:t>International Energy Agency Policies and Measures records only</w:t>
      </w:r>
      <w:r>
        <w:t xml:space="preserve">. It has </w:t>
      </w:r>
      <w:r>
        <w:t>86</w:t>
      </w:r>
      <w:r>
        <w:t xml:space="preserve"> such records, </w:t>
      </w:r>
      <w:r>
        <w:t>55</w:t>
      </w:r>
      <w:r>
        <w:t xml:space="preserve"> of which name a technology.</w:t>
      </w:r>
      <w:r>
        <w:rPr>
          <w:color w:val="4B5563"/>
          <w:vertAlign w:val="superscript"/>
        </w:rPr>
        <w:t>1,9</w:t>
      </w:r>
    </w:p>
    <w:p>
      <w:pPr>
        <w:pStyle w:val="Heading1"/>
      </w:pPr>
      <w:r>
        <w:t>4. Partnership priorities and why</w:t>
      </w:r>
    </w:p>
    <w:p>
      <w:r>
        <w:t xml:space="preserve">The Partnership Strength Index scores how strong a partner is in energy supply chains: as a reliable supplier (Friendshore), as an export market (Partnership Opportunity) or, for middle- and lower-income partners, through Development Potential. From Israel's viewpoint it rates the </w:t>
      </w:r>
      <w:r>
        <w:t>United States</w:t>
      </w:r>
      <w:r>
        <w:t xml:space="preserve"> highest, as a </w:t>
      </w:r>
      <w:r>
        <w:t>reliable supplier</w:t>
      </w:r>
      <w:r>
        <w:t xml:space="preserve">, strongest in </w:t>
      </w:r>
      <w:r>
        <w:t>midstream batteries, upstream nuclear, upstream wind, midstream wind and midstream electric vehicles</w:t>
      </w:r>
      <w:r>
        <w:t>.</w:t>
      </w:r>
      <w:r>
        <w:rPr>
          <w:color w:val="4B5563"/>
          <w:vertAlign w:val="superscript"/>
        </w:rPr>
        <w:t>1</w:t>
      </w:r>
    </w:p>
    <w:p>
      <w:r>
        <w:t xml:space="preserve">The </w:t>
      </w:r>
      <w:r>
        <w:t>Netherlands</w:t>
      </w:r>
      <w:r>
        <w:t xml:space="preserve"> ranks </w:t>
      </w:r>
      <w:r>
        <w:t>2nd</w:t>
      </w:r>
      <w:r>
        <w:t xml:space="preserve">, as an </w:t>
      </w:r>
      <w:r>
        <w:t>export market</w:t>
      </w:r>
      <w:r>
        <w:t xml:space="preserve">; </w:t>
      </w:r>
      <w:r>
        <w:t>Italy</w:t>
      </w:r>
      <w:r>
        <w:t xml:space="preserve"> ranks </w:t>
      </w:r>
      <w:r>
        <w:t>3rd</w:t>
      </w:r>
      <w:r>
        <w:t xml:space="preserve"> and </w:t>
      </w:r>
      <w:r>
        <w:t>Germany</w:t>
      </w:r>
      <w:r>
        <w:t xml:space="preserve"> </w:t>
      </w:r>
      <w:r>
        <w:t>4th</w:t>
      </w:r>
      <w:r>
        <w:t xml:space="preserve">, each as a </w:t>
      </w:r>
      <w:r>
        <w:t>reliable supplier</w:t>
      </w:r>
      <w:r>
        <w:t xml:space="preserve">; the </w:t>
      </w:r>
      <w:r>
        <w:t>Czech Republic</w:t>
      </w:r>
      <w:r>
        <w:t xml:space="preserve"> ranks </w:t>
      </w:r>
      <w:r>
        <w:t>5th</w:t>
      </w:r>
      <w:r>
        <w:t xml:space="preserve">, as an </w:t>
      </w:r>
      <w:r>
        <w:t>export market</w:t>
      </w:r>
      <w:r>
        <w:t>.</w:t>
      </w:r>
      <w:r>
        <w:rPr>
          <w:color w:val="4B5563"/>
          <w:vertAlign w:val="superscript"/>
        </w:rPr>
        <w:t>1</w:t>
      </w:r>
    </w:p>
    <w:p>
      <w:r>
        <w:t xml:space="preserve">Today's ties match this ranking only in part. The </w:t>
      </w:r>
      <w:r>
        <w:t>United States</w:t>
      </w:r>
      <w:r>
        <w:t xml:space="preserve"> is also Israel's </w:t>
      </w:r>
      <w:r>
        <w:t>1st</w:t>
      </w:r>
      <w:r>
        <w:t xml:space="preserve"> trade partner by average share across its energy-goods baskets, and </w:t>
      </w:r>
      <w:r>
        <w:t>Germany</w:t>
      </w:r>
      <w:r>
        <w:t xml:space="preserve"> its </w:t>
      </w:r>
      <w:r>
        <w:t>3rd</w:t>
      </w:r>
      <w:r>
        <w:t xml:space="preserve">. The </w:t>
      </w:r>
      <w:r>
        <w:t>Netherlands</w:t>
      </w:r>
      <w:r>
        <w:t xml:space="preserve"> ranks </w:t>
      </w:r>
      <w:r>
        <w:t>14th</w:t>
      </w:r>
      <w:r>
        <w:t xml:space="preserve"> by trade, and the </w:t>
      </w:r>
      <w:r>
        <w:t>Czech Republic</w:t>
      </w:r>
      <w:r>
        <w:t xml:space="preserve"> is </w:t>
      </w:r>
      <w:r>
        <w:t>a priority partner with few ties today</w:t>
      </w:r>
      <w:r>
        <w:t xml:space="preserve">. Israel has </w:t>
      </w:r>
      <w:r>
        <w:t>a U.S. free-trade agreement</w:t>
      </w:r>
      <w:r>
        <w:t xml:space="preserve">, and it votes in the </w:t>
      </w:r>
      <w:r>
        <w:t>same bloc</w:t>
      </w:r>
      <w:r>
        <w:t xml:space="preserve"> as the </w:t>
      </w:r>
      <w:r>
        <w:t>United States</w:t>
      </w:r>
      <w:r>
        <w:t xml:space="preserve"> at the United Nations.</w:t>
      </w:r>
      <w:r>
        <w:rPr>
          <w:color w:val="4B5563"/>
          <w:vertAlign w:val="superscript"/>
        </w:rPr>
        <w:t>1,4,10,11</w:t>
      </w:r>
    </w:p>
    <w:p>
      <w:r>
        <w:t>China</w:t>
      </w:r>
      <w:r>
        <w:t xml:space="preserve"> is Israel's </w:t>
      </w:r>
      <w:r>
        <w:t>2nd</w:t>
      </w:r>
      <w:r>
        <w:t xml:space="preserve"> trade partner but ranks </w:t>
      </w:r>
      <w:r>
        <w:t>40th</w:t>
      </w:r>
      <w:r>
        <w:t xml:space="preserve"> on Partnership Strength, with a Friendshore score of </w:t>
      </w:r>
      <w:r>
        <w:t>0.76</w:t>
      </w:r>
      <w:r>
        <w:t xml:space="preserve"> against </w:t>
      </w:r>
      <w:r>
        <w:t>0.99</w:t>
      </w:r>
      <w:r>
        <w:t xml:space="preserve"> for the </w:t>
      </w:r>
      <w:r>
        <w:t>United States</w:t>
      </w:r>
      <w:r>
        <w:t xml:space="preserve">; Israel and </w:t>
      </w:r>
      <w:r>
        <w:t>China</w:t>
      </w:r>
      <w:r>
        <w:t xml:space="preserve"> vote in </w:t>
      </w:r>
      <w:r>
        <w:t>opposite blocs</w:t>
      </w:r>
      <w:r>
        <w:t xml:space="preserve">. </w:t>
      </w:r>
      <w:r>
        <w:t>Switzerland</w:t>
      </w:r>
      <w:r>
        <w:t xml:space="preserve">, its </w:t>
      </w:r>
      <w:r>
        <w:t>4th</w:t>
      </w:r>
      <w:r>
        <w:t xml:space="preserve"> trade partner, ranks </w:t>
      </w:r>
      <w:r>
        <w:t>43rd</w:t>
      </w:r>
      <w:r>
        <w:t>.</w:t>
      </w:r>
      <w:r>
        <w:rPr>
          <w:color w:val="4B5563"/>
          <w:vertAlign w:val="superscript"/>
        </w:rPr>
        <w:t>1,4,11</w:t>
      </w:r>
    </w:p>
    <w:p>
      <w:r>
        <w:t xml:space="preserve">As a partner to the coalition, Israel ranks </w:t>
      </w:r>
      <w:r>
        <w:t>29th</w:t>
      </w:r>
      <w:r>
        <w:t xml:space="preserve"> of </w:t>
      </w:r>
      <w:r>
        <w:t>192</w:t>
      </w:r>
      <w:r>
        <w:t xml:space="preserve"> economies, averaged over the core members' viewpoints. In the allied network design, which spreads upstream and midstream production across coalition members, its largest designed shares are </w:t>
      </w:r>
      <w:r>
        <w:t>13.5%</w:t>
      </w:r>
      <w:r>
        <w:t xml:space="preserve"> of </w:t>
      </w:r>
      <w:r>
        <w:t>midstream geothermal</w:t>
      </w:r>
      <w:r>
        <w:t xml:space="preserve"> and </w:t>
      </w:r>
      <w:r>
        <w:t>10.5%</w:t>
      </w:r>
      <w:r>
        <w:t xml:space="preserve"> of </w:t>
      </w:r>
      <w:r>
        <w:t>upstream geothermal</w:t>
      </w:r>
      <w:r>
        <w:t>.</w:t>
      </w:r>
      <w:r>
        <w:rPr>
          <w:color w:val="4B5563"/>
          <w:vertAlign w:val="superscript"/>
        </w:rPr>
        <w:t>1,8</w:t>
      </w:r>
    </w:p>
    <w:p>
      <w:pPr>
        <w:pStyle w:val="Heading1"/>
      </w:pPr>
      <w:r>
        <w:t>5. Data notes and caveats</w:t>
      </w:r>
    </w:p>
    <w:p>
      <w:r>
        <w:t xml:space="preserve">Values are as of </w:t>
      </w:r>
      <w:r>
        <w:t>12 October 2026</w:t>
      </w:r>
      <w:r>
        <w:t xml:space="preserve">. </w:t>
      </w:r>
      <w:r>
        <w:t>Scores compare Israel with other economies in the same sector; they are not measures of risk or profit in absolute terms.</w:t>
      </w:r>
      <w:r>
        <w:t xml:space="preserve"> </w:t>
      </w:r>
      <w:r>
        <w:t>All index values are the paper's baseline as of 12 October 2026; Strategic Insights recomputes them under other weightings.</w:t>
      </w:r>
      <w:r>
        <w:t xml:space="preserve"> </w:t>
      </w:r>
      <w:r>
        <w:t>Some of Israel's sectors are not placed: a score is compared with other economies only when the economy is sovereign and at most half of the score rests on filled-in data.</w:t>
      </w:r>
      <w:r>
        <w:t xml:space="preserve"> </w:t>
      </w:r>
      <w:r>
        <w:t>The Climate Action Tracker does not rate Israel, so its policy activity rests on International Energy Agency Policies and Measures records alone; its policy levels compare only with economies on the same basis.</w:t>
      </w:r>
      <w:r>
        <w:t xml:space="preserve"> </w:t>
      </w:r>
      <w:r>
        <w:t>Strategic Index scores within 0.01 of each other are almost tied: small changes in the data or the weights can swap their order.</w:t>
      </w:r>
      <w:r>
        <w:t xml:space="preserve"> </w:t>
      </w:r>
      <w:r>
        <w:t>Many allied picks are close calls: in the paper, 37% of them are within 0.01 of the runner-up.</w:t>
      </w:r>
      <w:r>
        <w:t xml:space="preserve"> Country Insights shows the detail.</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Energy Institute, Statistical Review of World Energy 2026 (data to 2025); attribution; https://www.energyinst.org/statistical-review.</w:t>
      </w:r>
    </w:p>
    <w:p>
      <w:pPr>
        <w:pStyle w:val="ListNumber"/>
      </w:pPr>
      <w:r>
        <w:rPr>
          <w:sz w:val="17"/>
        </w:rPr>
        <w:t>U.S. Energy Information Administration, International Energy Statistics, bulk file INTL.zip: crude oil incl. lease condensate, NGPL, dry natural gas and coal production; petroleum and other liquids, dry natural gas and coal consumption, bulk file dated 2026-10-03 (oil production to 2025; gas and coal to 2024); open; https://www.eia.gov/international/data/world.</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International Energy Agency, Global EV Outlook: electric-vehicle production and sales by region, 2021-2024 (2025); attribution; https://www.iea.org/reports/global-ev-outlook-2025.</w:t>
      </w:r>
    </w:p>
    <w:p>
      <w:pPr>
        <w:pStyle w:val="ListNumber"/>
      </w:pPr>
      <w:r>
        <w:rPr>
          <w:sz w:val="17"/>
        </w:rPr>
        <w:t>United Nations, UN Comtrade Database, exports to World by reporter, 2024 (2024 data); attribution; https://comtradeplus.un.org/.</w:t>
      </w:r>
    </w:p>
    <w:p>
      <w:pPr>
        <w:pStyle w:val="ListNumber"/>
      </w:pPr>
      <w:r>
        <w:rPr>
          <w:sz w:val="17"/>
        </w:rPr>
        <w:t>Allied network design (the paper's model design of coalition production shares).</w:t>
      </w:r>
    </w:p>
    <w:p>
      <w:pPr>
        <w:pStyle w:val="ListNumber"/>
      </w:pPr>
      <w:r>
        <w:rPr>
          <w:sz w:val="17"/>
        </w:rPr>
        <w:t>International Energy Agency, Policies and Measures Database (export of 2026-09-30); attribution; https://www.iea.org/policies.</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Israel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ISR</cp:keywords>
  <dc:description>paper baseline as of 12 October 2026; fact sheet sha256 9dc0fb3503d3cb904a8481ec6e3546c49650f74ef043a9c80fc5ac10102c666c</dc:description>
  <cp:lastModifiedBy/>
  <cp:revision>1</cp:revision>
  <dcterms:created xsi:type="dcterms:W3CDTF">2013-12-23T23:15:00Z</dcterms:created>
  <dcterms:modified xsi:type="dcterms:W3CDTF">2013-12-23T23:15:00Z</dcterms:modified>
  <cp:category/>
</cp:coreProperties>
</file>