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Italy: energy security, economic opportunity and partnership priorities</w:t>
      </w:r>
    </w:p>
    <w:p>
      <w:r>
        <w:rPr>
          <w:color w:val="4B5563"/>
          <w:sz w:val="18"/>
        </w:rPr>
        <w:t>Policy memo · Country Insights · Allied Industrial Base Explorer · NEIS Center</w:t>
      </w:r>
    </w:p>
    <w:p>
      <w:pPr>
        <w:pBdr>
          <w:top w:val="single" w:sz="4" w:space="4" w:color="D1D5DB"/>
        </w:pBdr>
      </w:pPr>
      <w:r>
        <w:rPr>
          <w:i/>
          <w:color w:val="4B5563"/>
          <w:sz w:val="19"/>
        </w:rPr>
        <w:t>AI-generated from the data and checked against it; paper baseline as of 12 October 2026.</w:t>
      </w:r>
    </w:p>
    <w:tbl>
      <w:tblPr>
        <w:tblW w:type="auto" w:w="0"/>
        <w:tblLook w:firstColumn="1" w:firstRow="1" w:lastColumn="0" w:lastRow="0" w:noHBand="0" w:noVBand="1" w:val="04A0"/>
      </w:tblPr>
      <w:tblGrid>
        <w:gridCol w:w="10080"/>
      </w:tblGrid>
      <w:tr>
        <w:tc>
          <w:tcPr>
            <w:tcW w:type="dxa" w:w="10080"/>
            <w:shd w:val="clear" w:color="auto" w:fill="F3F4F6"/>
            <w:tcBorders>
              <w:top w:val="nil"/>
              <w:left w:val="single" w:sz="24" w:space="0" w:color="F58229"/>
              <w:bottom w:val="nil"/>
              <w:right w:val="nil"/>
            </w:tcBorders>
            <w:tcMar>
              <w:top w:w="120" w:type="dxa"/>
              <w:left w:w="200" w:type="dxa"/>
              <w:bottom w:w="80" w:type="dxa"/>
              <w:right w:w="160" w:type="dxa"/>
            </w:tcMar>
          </w:tcPr>
          <w:p>
            <w:r>
              <w:rPr>
                <w:b/>
                <w:sz w:val="24"/>
              </w:rPr>
              <w:t>Summary</w:t>
            </w:r>
          </w:p>
          <w:p>
            <w:pPr>
              <w:pStyle w:val="ListBullet"/>
            </w:pPr>
            <w:r>
              <w:t xml:space="preserve">Italy is most exposed in </w:t>
            </w:r>
            <w:r>
              <w:t>downstream coal</w:t>
            </w:r>
            <w:r>
              <w:t xml:space="preserve"> and </w:t>
            </w:r>
            <w:r>
              <w:t>upstream coal</w:t>
            </w:r>
            <w:r>
              <w:t xml:space="preserve">, where its Energy Security is higher than only </w:t>
            </w:r>
            <w:r>
              <w:t>14%</w:t>
            </w:r>
            <w:r>
              <w:t xml:space="preserve"> and </w:t>
            </w:r>
            <w:r>
              <w:t>21%</w:t>
            </w:r>
            <w:r>
              <w:t xml:space="preserve"> of the other economies scored. A low </w:t>
            </w:r>
            <w:r>
              <w:t>energy access</w:t>
            </w:r>
            <w:r>
              <w:t xml:space="preserve"> score pulls the downstream sector down.</w:t>
            </w:r>
            <w:r>
              <w:rPr>
                <w:color w:val="4B5563"/>
                <w:vertAlign w:val="superscript"/>
              </w:rPr>
              <w:t>1</w:t>
            </w:r>
          </w:p>
          <w:p>
            <w:pPr>
              <w:pStyle w:val="ListBullet"/>
            </w:pPr>
            <w:r>
              <w:t xml:space="preserve">Its strongest openings are in </w:t>
            </w:r>
            <w:r>
              <w:t>midstream gas</w:t>
            </w:r>
            <w:r>
              <w:t xml:space="preserve">, </w:t>
            </w:r>
            <w:r>
              <w:t>midstream oil</w:t>
            </w:r>
            <w:r>
              <w:t xml:space="preserve"> and </w:t>
            </w:r>
            <w:r>
              <w:t>downstream batteries</w:t>
            </w:r>
            <w:r>
              <w:t xml:space="preserve">, where its Economic Opportunity is higher than </w:t>
            </w:r>
            <w:r>
              <w:t>99%</w:t>
            </w:r>
            <w:r>
              <w:t xml:space="preserve">, </w:t>
            </w:r>
            <w:r>
              <w:t>99%</w:t>
            </w:r>
            <w:r>
              <w:t xml:space="preserve"> and </w:t>
            </w:r>
            <w:r>
              <w:t>99%</w:t>
            </w:r>
            <w:r>
              <w:t xml:space="preserve"> of the other economies scored. Strong </w:t>
            </w:r>
            <w:r>
              <w:t>trade</w:t>
            </w:r>
            <w:r>
              <w:t xml:space="preserve"> scores lift the midstream sectors.</w:t>
            </w:r>
            <w:r>
              <w:rPr>
                <w:color w:val="4B5563"/>
                <w:vertAlign w:val="superscript"/>
              </w:rPr>
              <w:t>1</w:t>
            </w:r>
          </w:p>
          <w:p>
            <w:pPr>
              <w:pStyle w:val="ListBullet"/>
            </w:pPr>
            <w:r>
              <w:t xml:space="preserve">On the paper's weighting, its top Strategic Index sectors are </w:t>
            </w:r>
            <w:r>
              <w:t>upstream batteries</w:t>
            </w:r>
            <w:r>
              <w:t xml:space="preserve">, </w:t>
            </w:r>
            <w:r>
              <w:t>midstream batteries</w:t>
            </w:r>
            <w:r>
              <w:t xml:space="preserve"> and </w:t>
            </w:r>
            <w:r>
              <w:t>upstream wind</w:t>
            </w:r>
            <w:r>
              <w:t xml:space="preserve">. Comparing priority with policy, </w:t>
            </w:r>
            <w:r>
              <w:t>midstream batteries</w:t>
            </w:r>
            <w:r>
              <w:t xml:space="preserve"> is </w:t>
            </w:r>
            <w:r>
              <w:t>top priority with the most policy</w:t>
            </w:r>
            <w:r>
              <w:t xml:space="preserve">, while </w:t>
            </w:r>
            <w:r>
              <w:t>upstream batteries</w:t>
            </w:r>
            <w:r>
              <w:t xml:space="preserve"> falls in the </w:t>
            </w:r>
            <w:r>
              <w:t>middle</w:t>
            </w:r>
            <w:r>
              <w:t xml:space="preserve"> group on policy activity.</w:t>
            </w:r>
            <w:r>
              <w:rPr>
                <w:color w:val="4B5563"/>
                <w:vertAlign w:val="superscript"/>
              </w:rPr>
              <w:t>1</w:t>
            </w:r>
          </w:p>
          <w:p>
            <w:pPr>
              <w:pStyle w:val="ListBullet"/>
            </w:pPr>
            <w:r>
              <w:t xml:space="preserve">The Partnership Strength Index rates </w:t>
            </w:r>
            <w:r>
              <w:t>Germany</w:t>
            </w:r>
            <w:r>
              <w:t xml:space="preserve"> highest for Italy, an </w:t>
            </w:r>
            <w:r>
              <w:t>export market</w:t>
            </w:r>
            <w:r>
              <w:t xml:space="preserve"> and its </w:t>
            </w:r>
            <w:r>
              <w:t>1st</w:t>
            </w:r>
            <w:r>
              <w:t xml:space="preserve"> trade partner. </w:t>
            </w:r>
            <w:r>
              <w:t>China</w:t>
            </w:r>
            <w:r>
              <w:t xml:space="preserve">, its </w:t>
            </w:r>
            <w:r>
              <w:t>2nd</w:t>
            </w:r>
            <w:r>
              <w:t xml:space="preserve"> trade partner, ranks </w:t>
            </w:r>
            <w:r>
              <w:t>40th</w:t>
            </w:r>
            <w:r>
              <w:t>.</w:t>
            </w:r>
            <w:r>
              <w:rPr>
                <w:color w:val="4B5563"/>
                <w:vertAlign w:val="superscript"/>
              </w:rPr>
              <w:t>1,2</w:t>
            </w:r>
          </w:p>
        </w:tc>
      </w:tr>
    </w:tbl>
    <w:p/>
    <w:p>
      <w:pPr>
        <w:pStyle w:val="Heading1"/>
      </w:pPr>
      <w:r>
        <w:t>1. Energy security risks and why</w:t>
      </w:r>
    </w:p>
    <w:p>
      <w:r>
        <w:t xml:space="preserve">Of Italy's </w:t>
      </w:r>
      <w:r>
        <w:t>30</w:t>
      </w:r>
      <w:r>
        <w:t xml:space="preserve"> placed sectors, those comparable with other economies, </w:t>
      </w:r>
      <w:r>
        <w:t>7</w:t>
      </w:r>
      <w:r>
        <w:t xml:space="preserve"> sit in the two low-energy-security corners. Of these, </w:t>
      </w:r>
      <w:r>
        <w:t>5</w:t>
      </w:r>
      <w:r>
        <w:t xml:space="preserve"> are in the Upgrade corner, which pairs high opportunity with low energy security, and </w:t>
      </w:r>
      <w:r>
        <w:t>2</w:t>
      </w:r>
      <w:r>
        <w:t xml:space="preserve"> in the Secure corner, where both are low. The paper's framework, after RMI (2025), associates the Upgrade corner with building domestic capability and the Secure corner with securing supply through trusted partners.</w:t>
      </w:r>
      <w:r>
        <w:rPr>
          <w:color w:val="4B5563"/>
          <w:vertAlign w:val="superscript"/>
        </w:rPr>
        <w:t>1</w:t>
      </w:r>
    </w:p>
    <w:p>
      <w:r>
        <w:t xml:space="preserve">Energy Security measures how well a country can rely on what it needs. Its lowest Energy Security percentiles are in </w:t>
      </w:r>
      <w:r>
        <w:t>downstream coal</w:t>
      </w:r>
      <w:r>
        <w:t xml:space="preserve">, </w:t>
      </w:r>
      <w:r>
        <w:t>upstream coal</w:t>
      </w:r>
      <w:r>
        <w:t xml:space="preserve">, </w:t>
      </w:r>
      <w:r>
        <w:t>downstream nuclear</w:t>
      </w:r>
      <w:r>
        <w:t xml:space="preserve"> and </w:t>
      </w:r>
      <w:r>
        <w:t>upstream gas</w:t>
      </w:r>
      <w:r>
        <w:t xml:space="preserve">. It scores higher than only </w:t>
      </w:r>
      <w:r>
        <w:t>14%</w:t>
      </w:r>
      <w:r>
        <w:t xml:space="preserve">, </w:t>
      </w:r>
      <w:r>
        <w:t>21%</w:t>
      </w:r>
      <w:r>
        <w:t xml:space="preserve">, </w:t>
      </w:r>
      <w:r>
        <w:t>26%</w:t>
      </w:r>
      <w:r>
        <w:t xml:space="preserve"> and </w:t>
      </w:r>
      <w:r>
        <w:t>34%</w:t>
      </w:r>
      <w:r>
        <w:t xml:space="preserve"> of the other economies scored, respectively. In </w:t>
      </w:r>
      <w:r>
        <w:t>downstream coal</w:t>
      </w:r>
      <w:r>
        <w:t xml:space="preserve">, in the </w:t>
      </w:r>
      <w:r>
        <w:t>Secure</w:t>
      </w:r>
      <w:r>
        <w:t xml:space="preserve"> corner, the score is low mainly because of </w:t>
      </w:r>
      <w:r>
        <w:t>energy access</w:t>
      </w:r>
      <w:r>
        <w:t xml:space="preserve">. Its consumption in this sector was </w:t>
      </w:r>
      <w:r>
        <w:t>1.46 GJ per person</w:t>
      </w:r>
      <w:r>
        <w:t xml:space="preserve"> in </w:t>
      </w:r>
      <w:r>
        <w:t>2025</w:t>
      </w:r>
      <w:r>
        <w:t xml:space="preserve">, and its change was </w:t>
      </w:r>
      <w:r>
        <w:t>-58.8%</w:t>
      </w:r>
      <w:r>
        <w:t xml:space="preserve">, a measure on which it scores higher than only </w:t>
      </w:r>
      <w:r>
        <w:t>9%</w:t>
      </w:r>
      <w:r>
        <w:t xml:space="preserve"> of the other economies.</w:t>
      </w:r>
      <w:r>
        <w:rPr>
          <w:color w:val="4B5563"/>
          <w:vertAlign w:val="superscript"/>
        </w:rPr>
        <w:t>1,3</w:t>
      </w:r>
    </w:p>
    <w:p>
      <w:r>
        <w:t xml:space="preserve">In </w:t>
      </w:r>
      <w:r>
        <w:t>upstream gas</w:t>
      </w:r>
      <w:r>
        <w:t xml:space="preserve">, in the </w:t>
      </w:r>
      <w:r>
        <w:t>Upgrade</w:t>
      </w:r>
      <w:r>
        <w:t xml:space="preserve"> corner, the score is low mainly because of </w:t>
      </w:r>
      <w:r>
        <w:t>energy imports</w:t>
      </w:r>
      <w:r>
        <w:t xml:space="preserve"> and </w:t>
      </w:r>
      <w:r>
        <w:t>trade</w:t>
      </w:r>
      <w:r>
        <w:t xml:space="preserve">. Production minus consumption was </w:t>
      </w:r>
      <w:r>
        <w:t>-2.05 EJ</w:t>
      </w:r>
      <w:r>
        <w:t xml:space="preserve"> in </w:t>
      </w:r>
      <w:r>
        <w:t>2025</w:t>
      </w:r>
      <w:r>
        <w:t xml:space="preserve">, and the trade deficit in these goods was </w:t>
      </w:r>
      <w:r>
        <w:t>1.5% of GDP</w:t>
      </w:r>
      <w:r>
        <w:t xml:space="preserve"> in </w:t>
      </w:r>
      <w:r>
        <w:t>2023</w:t>
      </w:r>
      <w:r>
        <w:t xml:space="preserve">. For context, its largest suppliers in </w:t>
      </w:r>
      <w:r>
        <w:t>2024</w:t>
      </w:r>
      <w:r>
        <w:t xml:space="preserve"> were </w:t>
      </w:r>
      <w:r>
        <w:t>Algeria</w:t>
      </w:r>
      <w:r>
        <w:t xml:space="preserve"> (</w:t>
      </w:r>
      <w:r>
        <w:t>43.0%</w:t>
      </w:r>
      <w:r>
        <w:t xml:space="preserve"> of its imports) and </w:t>
      </w:r>
      <w:r>
        <w:t>Azerbaijan</w:t>
      </w:r>
      <w:r>
        <w:t xml:space="preserve"> (</w:t>
      </w:r>
      <w:r>
        <w:t>15.8%</w:t>
      </w:r>
      <w:r>
        <w:t>).</w:t>
      </w:r>
      <w:r>
        <w:rPr>
          <w:color w:val="4B5563"/>
          <w:vertAlign w:val="superscript"/>
        </w:rPr>
        <w:t>1,2,3,4</w:t>
      </w:r>
    </w:p>
    <w:p>
      <w:r>
        <w:t xml:space="preserve">Its high-priority sectors are the high-opportunity, low-energy-security ones that the Strategic Index ranks highest. They are </w:t>
      </w:r>
      <w:r>
        <w:t>upstream batteries, midstream batteries and upstream electric grid</w:t>
      </w:r>
      <w:r>
        <w:t xml:space="preserve">. Their Energy Security sits just below the middle economy's: higher than </w:t>
      </w:r>
      <w:r>
        <w:t>46%</w:t>
      </w:r>
      <w:r>
        <w:t xml:space="preserve">, </w:t>
      </w:r>
      <w:r>
        <w:t>45%</w:t>
      </w:r>
      <w:r>
        <w:t xml:space="preserve"> and </w:t>
      </w:r>
      <w:r>
        <w:t>47%</w:t>
      </w:r>
      <w:r>
        <w:t xml:space="preserve"> of the other economies scored. In each, </w:t>
      </w:r>
      <w:r>
        <w:t>trade</w:t>
      </w:r>
      <w:r>
        <w:t xml:space="preserve"> pulls the score down. The trade deficit in these goods was </w:t>
      </w:r>
      <w:r>
        <w:t>&lt;0.1% of GDP</w:t>
      </w:r>
      <w:r>
        <w:t xml:space="preserve">, </w:t>
      </w:r>
      <w:r>
        <w:t>0.1% of GDP</w:t>
      </w:r>
      <w:r>
        <w:t xml:space="preserve"> and </w:t>
      </w:r>
      <w:r>
        <w:t>0.2% of GDP</w:t>
      </w:r>
      <w:r>
        <w:t xml:space="preserve"> in </w:t>
      </w:r>
      <w:r>
        <w:t>2023</w:t>
      </w:r>
      <w:r>
        <w:t xml:space="preserve">, measures on which it scores higher than only </w:t>
      </w:r>
      <w:r>
        <w:t>18%</w:t>
      </w:r>
      <w:r>
        <w:t xml:space="preserve">, </w:t>
      </w:r>
      <w:r>
        <w:t>30%</w:t>
      </w:r>
      <w:r>
        <w:t xml:space="preserve"> and </w:t>
      </w:r>
      <w:r>
        <w:t>12%</w:t>
      </w:r>
      <w:r>
        <w:t xml:space="preserve"> of the other economies.</w:t>
      </w:r>
      <w:r>
        <w:rPr>
          <w:color w:val="4B5563"/>
          <w:vertAlign w:val="superscript"/>
        </w:rPr>
        <w:t>1,4</w:t>
      </w:r>
    </w:p>
    <w:p>
      <w:pPr>
        <w:pStyle w:val="Heading1"/>
      </w:pPr>
      <w:r>
        <w:t>2. Economic opportunities and why</w:t>
      </w:r>
    </w:p>
    <w:p>
      <w:r>
        <w:t xml:space="preserve">Italy's openings are broad: </w:t>
      </w:r>
      <w:r>
        <w:t>27</w:t>
      </w:r>
      <w:r>
        <w:t xml:space="preserve"> of its placed sectors sit in the two high-opportunity corners, </w:t>
      </w:r>
      <w:r>
        <w:t>22</w:t>
      </w:r>
      <w:r>
        <w:t xml:space="preserve"> of them in the Grow corner, which pairs high opportunity with high energy security. The paper's framework, after RMI (2025), associates the Grow corner with export promotion.</w:t>
      </w:r>
      <w:r>
        <w:rPr>
          <w:color w:val="4B5563"/>
          <w:vertAlign w:val="superscript"/>
        </w:rPr>
        <w:t>1</w:t>
      </w:r>
    </w:p>
    <w:p>
      <w:r>
        <w:t xml:space="preserve">Economic Opportunity measures how well placed a country is to create value. Its highest Economic Opportunity percentiles are in </w:t>
      </w:r>
      <w:r>
        <w:t>midstream gas</w:t>
      </w:r>
      <w:r>
        <w:t xml:space="preserve">, </w:t>
      </w:r>
      <w:r>
        <w:t>midstream oil</w:t>
      </w:r>
      <w:r>
        <w:t xml:space="preserve">, </w:t>
      </w:r>
      <w:r>
        <w:t>downstream batteries</w:t>
      </w:r>
      <w:r>
        <w:t xml:space="preserve"> and </w:t>
      </w:r>
      <w:r>
        <w:t>midstream coal</w:t>
      </w:r>
      <w:r>
        <w:t xml:space="preserve">. It scores higher than </w:t>
      </w:r>
      <w:r>
        <w:t>99%</w:t>
      </w:r>
      <w:r>
        <w:t xml:space="preserve">, </w:t>
      </w:r>
      <w:r>
        <w:t>99%</w:t>
      </w:r>
      <w:r>
        <w:t xml:space="preserve">, </w:t>
      </w:r>
      <w:r>
        <w:t>99%</w:t>
      </w:r>
      <w:r>
        <w:t xml:space="preserve"> and </w:t>
      </w:r>
      <w:r>
        <w:t>97%</w:t>
      </w:r>
      <w:r>
        <w:t xml:space="preserve"> of the other economies scored in these sectors, respectively.</w:t>
      </w:r>
      <w:r>
        <w:rPr>
          <w:color w:val="4B5563"/>
          <w:vertAlign w:val="superscript"/>
        </w:rPr>
        <w:t>1</w:t>
      </w:r>
    </w:p>
    <w:p>
      <w:r>
        <w:t xml:space="preserve">In </w:t>
      </w:r>
      <w:r>
        <w:t>midstream gas</w:t>
      </w:r>
      <w:r>
        <w:t xml:space="preserve">, the score is high mainly because of </w:t>
      </w:r>
      <w:r>
        <w:t>trade</w:t>
      </w:r>
      <w:r>
        <w:t xml:space="preserve"> and </w:t>
      </w:r>
      <w:r>
        <w:t>cost competitiveness</w:t>
      </w:r>
      <w:r>
        <w:t xml:space="preserve">. Its exports of these goods reached </w:t>
      </w:r>
      <w:r>
        <w:t>USD 8.31 bn</w:t>
      </w:r>
      <w:r>
        <w:t xml:space="preserve"> in </w:t>
      </w:r>
      <w:r>
        <w:t>2024</w:t>
      </w:r>
      <w:r>
        <w:t xml:space="preserve">, and its revealed comparative advantage is </w:t>
      </w:r>
      <w:r>
        <w:t>1.73</w:t>
      </w:r>
      <w:r>
        <w:t xml:space="preserve">: above the neutral value, so these goods weigh more in its exports than in world trade. For context, its largest markets for these goods in </w:t>
      </w:r>
      <w:r>
        <w:t>2024</w:t>
      </w:r>
      <w:r>
        <w:t xml:space="preserve"> were </w:t>
      </w:r>
      <w:r>
        <w:t>Iraq</w:t>
      </w:r>
      <w:r>
        <w:t xml:space="preserve"> (</w:t>
      </w:r>
      <w:r>
        <w:t>16.4%</w:t>
      </w:r>
      <w:r>
        <w:t xml:space="preserve">) and the </w:t>
      </w:r>
      <w:r>
        <w:t>United States</w:t>
      </w:r>
      <w:r>
        <w:t xml:space="preserve"> (</w:t>
      </w:r>
      <w:r>
        <w:t>11.4%</w:t>
      </w:r>
      <w:r>
        <w:t>).</w:t>
      </w:r>
      <w:r>
        <w:rPr>
          <w:color w:val="4B5563"/>
          <w:vertAlign w:val="superscript"/>
        </w:rPr>
        <w:t>2,5</w:t>
      </w:r>
    </w:p>
    <w:p>
      <w:r>
        <w:t xml:space="preserve">In </w:t>
      </w:r>
      <w:r>
        <w:t>downstream batteries</w:t>
      </w:r>
      <w:r>
        <w:t xml:space="preserve">, </w:t>
      </w:r>
      <w:r>
        <w:t>investment</w:t>
      </w:r>
      <w:r>
        <w:t xml:space="preserve"> pushes the score up: on annual investment and on growth in investment it scores higher than </w:t>
      </w:r>
      <w:r>
        <w:t>98%</w:t>
      </w:r>
      <w:r>
        <w:t xml:space="preserve"> and </w:t>
      </w:r>
      <w:r>
        <w:t>99%</w:t>
      </w:r>
      <w:r>
        <w:t xml:space="preserve"> of the other economies.</w:t>
      </w:r>
      <w:r>
        <w:rPr>
          <w:color w:val="4B5563"/>
          <w:vertAlign w:val="superscript"/>
        </w:rPr>
        <w:t>1</w:t>
      </w:r>
    </w:p>
    <w:p>
      <w:r>
        <w:t xml:space="preserve">Its high-priority sectors also have openings. In </w:t>
      </w:r>
      <w:r>
        <w:t>upstream batteries</w:t>
      </w:r>
      <w:r>
        <w:t xml:space="preserve"> and </w:t>
      </w:r>
      <w:r>
        <w:t>upstream electric grid</w:t>
      </w:r>
      <w:r>
        <w:t xml:space="preserve">, </w:t>
      </w:r>
      <w:r>
        <w:t>trade</w:t>
      </w:r>
      <w:r>
        <w:t xml:space="preserve"> lifts the score. Export feasibility, a measure of how close these goods are to what Italy already exports well, is </w:t>
      </w:r>
      <w:r>
        <w:t>0.42</w:t>
      </w:r>
      <w:r>
        <w:t xml:space="preserve"> and </w:t>
      </w:r>
      <w:r>
        <w:t>0.39</w:t>
      </w:r>
      <w:r>
        <w:t xml:space="preserve">, higher than </w:t>
      </w:r>
      <w:r>
        <w:t>99%</w:t>
      </w:r>
      <w:r>
        <w:t xml:space="preserve"> and </w:t>
      </w:r>
      <w:r>
        <w:t>97%</w:t>
      </w:r>
      <w:r>
        <w:t xml:space="preserve"> of the other economies.</w:t>
      </w:r>
      <w:r>
        <w:rPr>
          <w:color w:val="4B5563"/>
          <w:vertAlign w:val="superscript"/>
        </w:rPr>
        <w:t>1,4</w:t>
      </w:r>
    </w:p>
    <w:p>
      <w:pPr>
        <w:pStyle w:val="Heading1"/>
      </w:pPr>
      <w:r>
        <w:t>3. Sectoral priorities and the existing policy posture</w:t>
      </w:r>
    </w:p>
    <w:p>
      <w:r>
        <w:t xml:space="preserve">The Strategic Index ranks a country's own sectors by opportunity, security need, policy activity, stage and technology. On the paper's weighting, it ranks </w:t>
      </w:r>
      <w:r>
        <w:t>upstream batteries</w:t>
      </w:r>
      <w:r>
        <w:t xml:space="preserve"> </w:t>
      </w:r>
      <w:r>
        <w:t>1st</w:t>
      </w:r>
      <w:r>
        <w:t xml:space="preserve"> among Italy's own sectors, scoring </w:t>
      </w:r>
      <w:r>
        <w:t>0.64</w:t>
      </w:r>
      <w:r>
        <w:t>, almost tied with the next (</w:t>
      </w:r>
      <w:r>
        <w:t>0.002</w:t>
      </w:r>
      <w:r>
        <w:t xml:space="preserve"> apart). Its security-need term, </w:t>
      </w:r>
      <w:r>
        <w:t>0.238</w:t>
      </w:r>
      <w:r>
        <w:t xml:space="preserve">, outweighs its opportunity term, </w:t>
      </w:r>
      <w:r>
        <w:t>0.141</w:t>
      </w:r>
      <w:r>
        <w:t xml:space="preserve">. Next come </w:t>
      </w:r>
      <w:r>
        <w:t>midstream batteries</w:t>
      </w:r>
      <w:r>
        <w:t xml:space="preserve"> (</w:t>
      </w:r>
      <w:r>
        <w:t>2nd</w:t>
      </w:r>
      <w:r>
        <w:t xml:space="preserve">), </w:t>
      </w:r>
      <w:r>
        <w:t>upstream wind</w:t>
      </w:r>
      <w:r>
        <w:t xml:space="preserve"> (</w:t>
      </w:r>
      <w:r>
        <w:t>3rd</w:t>
      </w:r>
      <w:r>
        <w:t xml:space="preserve">) and </w:t>
      </w:r>
      <w:r>
        <w:t>downstream batteries</w:t>
      </w:r>
      <w:r>
        <w:t xml:space="preserve"> (</w:t>
      </w:r>
      <w:r>
        <w:t>4th</w:t>
      </w:r>
      <w:r>
        <w:t>), each almost tied with the next (</w:t>
      </w:r>
      <w:r>
        <w:t>0.004</w:t>
      </w:r>
      <w:r>
        <w:t xml:space="preserve">, </w:t>
      </w:r>
      <w:r>
        <w:t>0.002</w:t>
      </w:r>
      <w:r>
        <w:t xml:space="preserve"> and </w:t>
      </w:r>
      <w:r>
        <w:t>0.002</w:t>
      </w:r>
      <w:r>
        <w:t xml:space="preserve"> apart).</w:t>
      </w:r>
      <w:r>
        <w:rPr>
          <w:color w:val="4B5563"/>
          <w:vertAlign w:val="superscript"/>
        </w:rPr>
        <w:t>1</w:t>
      </w:r>
    </w:p>
    <w:p>
      <w:r>
        <w:t xml:space="preserve">In the allied network design, the paper's model of shared coalition production, a member's allied pick is its best-ranked upstream or midstream sector on the Strategic Index after a resource-base screen. Italy's </w:t>
      </w:r>
      <w:r>
        <w:t>upstream batteries</w:t>
      </w:r>
      <w:r>
        <w:t xml:space="preserve"> sector has no recorded resource base, so its allied pick is </w:t>
      </w:r>
      <w:r>
        <w:t>midstream batteries</w:t>
      </w:r>
      <w:r>
        <w:t xml:space="preserve">, ahead of </w:t>
      </w:r>
      <w:r>
        <w:t>upstream nuclear</w:t>
      </w:r>
      <w:r>
        <w:t xml:space="preserve"> by </w:t>
      </w:r>
      <w:r>
        <w:t>0.018</w:t>
      </w:r>
      <w:r>
        <w:t>.</w:t>
      </w:r>
      <w:r>
        <w:rPr>
          <w:color w:val="4B5563"/>
          <w:vertAlign w:val="superscript"/>
        </w:rPr>
        <w:t>6</w:t>
      </w:r>
    </w:p>
    <w:p>
      <w:r>
        <w:t xml:space="preserve">Setting the policy term aside and comparing priority with policy activity, </w:t>
      </w:r>
      <w:r>
        <w:t>midstream batteries, midstream electric grid and midstream solar</w:t>
      </w:r>
      <w:r>
        <w:t xml:space="preserve"> are </w:t>
      </w:r>
      <w:r>
        <w:t>top priority with the most policy</w:t>
      </w:r>
      <w:r>
        <w:t xml:space="preserve">. The </w:t>
      </w:r>
      <w:r>
        <w:t>upstream batteries</w:t>
      </w:r>
      <w:r>
        <w:t xml:space="preserve"> sector is </w:t>
      </w:r>
      <w:r>
        <w:t>in between</w:t>
      </w:r>
      <w:r>
        <w:t xml:space="preserve">: </w:t>
      </w:r>
      <w:r>
        <w:t>top third</w:t>
      </w:r>
      <w:r>
        <w:t xml:space="preserve"> on priority but in the </w:t>
      </w:r>
      <w:r>
        <w:t>middle</w:t>
      </w:r>
      <w:r>
        <w:t xml:space="preserve"> group on policy activity, with </w:t>
      </w:r>
      <w:r>
        <w:t>2</w:t>
      </w:r>
      <w:r>
        <w:t xml:space="preserve"> International Energy Agency policy records naming its technology and stage. In </w:t>
      </w:r>
      <w:r>
        <w:t>downstream green hydrogen</w:t>
      </w:r>
      <w:r>
        <w:t xml:space="preserve">, it ranks </w:t>
      </w:r>
      <w:r>
        <w:t>27th</w:t>
      </w:r>
      <w:r>
        <w:t xml:space="preserve"> on priority but </w:t>
      </w:r>
      <w:r>
        <w:t>9th</w:t>
      </w:r>
      <w:r>
        <w:t xml:space="preserve"> on policy activity, and is </w:t>
      </w:r>
      <w:r>
        <w:t>bottom priority with the most policy</w:t>
      </w:r>
      <w:r>
        <w:t xml:space="preserve">. At the bottom, </w:t>
      </w:r>
      <w:r>
        <w:t>7</w:t>
      </w:r>
      <w:r>
        <w:t xml:space="preserve"> sectors, among them </w:t>
      </w:r>
      <w:r>
        <w:t>upstream oil</w:t>
      </w:r>
      <w:r>
        <w:t xml:space="preserve"> and </w:t>
      </w:r>
      <w:r>
        <w:t>upstream coal</w:t>
      </w:r>
      <w:r>
        <w:t xml:space="preserve">, are </w:t>
      </w:r>
      <w:r>
        <w:t>bottom priority with the least policy</w:t>
      </w:r>
      <w:r>
        <w:t>.</w:t>
      </w:r>
      <w:r>
        <w:rPr>
          <w:color w:val="4B5563"/>
          <w:vertAlign w:val="superscript"/>
        </w:rPr>
        <w:t>1,7</w:t>
      </w:r>
    </w:p>
    <w:p>
      <w:r>
        <w:t xml:space="preserve">The Climate Action Tracker, an independent rating of climate action, rates Italy, as part of the European Union, </w:t>
      </w:r>
      <w:r>
        <w:t>Insufficient</w:t>
      </w:r>
      <w:r>
        <w:t xml:space="preserve"> (</w:t>
      </w:r>
      <w:r>
        <w:t>November 2024</w:t>
      </w:r>
      <w:r>
        <w:t xml:space="preserve">). Italy has </w:t>
      </w:r>
      <w:r>
        <w:t>336</w:t>
      </w:r>
      <w:r>
        <w:t xml:space="preserve"> International Energy Agency policy records in all, </w:t>
      </w:r>
      <w:r>
        <w:t>192</w:t>
      </w:r>
      <w:r>
        <w:t xml:space="preserve"> of them naming a technology.</w:t>
      </w:r>
      <w:r>
        <w:rPr>
          <w:color w:val="4B5563"/>
          <w:vertAlign w:val="superscript"/>
        </w:rPr>
        <w:t>7,8</w:t>
      </w:r>
    </w:p>
    <w:p>
      <w:pPr>
        <w:pStyle w:val="Heading1"/>
      </w:pPr>
      <w:r>
        <w:t>4. Partnership priorities and why</w:t>
      </w:r>
    </w:p>
    <w:p>
      <w:r>
        <w:t xml:space="preserve">The Partnership Strength Index rates partners for Italy as a reliable supplier (Friendshore), an export market (Partnership Opportunity) and, for middle- and lower-income partners, a development partner (Development Potential). It rates </w:t>
      </w:r>
      <w:r>
        <w:t>Germany</w:t>
      </w:r>
      <w:r>
        <w:t xml:space="preserve">, the </w:t>
      </w:r>
      <w:r>
        <w:t>United States</w:t>
      </w:r>
      <w:r>
        <w:t xml:space="preserve">, </w:t>
      </w:r>
      <w:r>
        <w:t>France</w:t>
      </w:r>
      <w:r>
        <w:t xml:space="preserve">, </w:t>
      </w:r>
      <w:r>
        <w:t>Spain</w:t>
      </w:r>
      <w:r>
        <w:t xml:space="preserve"> and </w:t>
      </w:r>
      <w:r>
        <w:t>Belgium</w:t>
      </w:r>
      <w:r>
        <w:t xml:space="preserve"> highest, ranked </w:t>
      </w:r>
      <w:r>
        <w:t>1st</w:t>
      </w:r>
      <w:r>
        <w:t xml:space="preserve"> to </w:t>
      </w:r>
      <w:r>
        <w:t>5th</w:t>
      </w:r>
      <w:r>
        <w:t>.</w:t>
      </w:r>
      <w:r>
        <w:rPr>
          <w:color w:val="4B5563"/>
          <w:vertAlign w:val="superscript"/>
        </w:rPr>
        <w:t>1</w:t>
      </w:r>
    </w:p>
    <w:p>
      <w:r>
        <w:t>Germany</w:t>
      </w:r>
      <w:r>
        <w:t xml:space="preserve"> ranks best as an </w:t>
      </w:r>
      <w:r>
        <w:t>export market</w:t>
      </w:r>
      <w:r>
        <w:t xml:space="preserve">; the </w:t>
      </w:r>
      <w:r>
        <w:t>United States</w:t>
      </w:r>
      <w:r>
        <w:t xml:space="preserve">, </w:t>
      </w:r>
      <w:r>
        <w:t>France</w:t>
      </w:r>
      <w:r>
        <w:t xml:space="preserve">, </w:t>
      </w:r>
      <w:r>
        <w:t>Spain</w:t>
      </w:r>
      <w:r>
        <w:t xml:space="preserve"> and </w:t>
      </w:r>
      <w:r>
        <w:t>Belgium</w:t>
      </w:r>
      <w:r>
        <w:t xml:space="preserve"> each rank best as a </w:t>
      </w:r>
      <w:r>
        <w:t>reliable supplier</w:t>
      </w:r>
      <w:r>
        <w:t xml:space="preserve">. As a market, </w:t>
      </w:r>
      <w:r>
        <w:t>Germany</w:t>
      </w:r>
      <w:r>
        <w:t xml:space="preserve"> scores best in </w:t>
      </w:r>
      <w:r>
        <w:t>upstream wind, midstream wind, upstream electric vehicles, midstream electric grid and midstream solar</w:t>
      </w:r>
      <w:r>
        <w:t>.</w:t>
      </w:r>
      <w:r>
        <w:rPr>
          <w:color w:val="4B5563"/>
          <w:vertAlign w:val="superscript"/>
        </w:rPr>
        <w:t>1</w:t>
      </w:r>
    </w:p>
    <w:p>
      <w:r>
        <w:t xml:space="preserve">The index and today's trade largely agree. On average across its energy-goods baskets in </w:t>
      </w:r>
      <w:r>
        <w:t>2024</w:t>
      </w:r>
      <w:r>
        <w:t xml:space="preserve">, </w:t>
      </w:r>
      <w:r>
        <w:t>Germany</w:t>
      </w:r>
      <w:r>
        <w:t xml:space="preserve"> is its </w:t>
      </w:r>
      <w:r>
        <w:t>1st</w:t>
      </w:r>
      <w:r>
        <w:t xml:space="preserve"> trade partner, </w:t>
      </w:r>
      <w:r>
        <w:t>France</w:t>
      </w:r>
      <w:r>
        <w:t xml:space="preserve"> its </w:t>
      </w:r>
      <w:r>
        <w:t>3rd</w:t>
      </w:r>
      <w:r>
        <w:t xml:space="preserve">, the </w:t>
      </w:r>
      <w:r>
        <w:t>United States</w:t>
      </w:r>
      <w:r>
        <w:t xml:space="preserve"> its </w:t>
      </w:r>
      <w:r>
        <w:t>4th</w:t>
      </w:r>
      <w:r>
        <w:t xml:space="preserve">, </w:t>
      </w:r>
      <w:r>
        <w:t>Belgium</w:t>
      </w:r>
      <w:r>
        <w:t xml:space="preserve"> its </w:t>
      </w:r>
      <w:r>
        <w:t>5th</w:t>
      </w:r>
      <w:r>
        <w:t xml:space="preserve"> and </w:t>
      </w:r>
      <w:r>
        <w:t>Spain</w:t>
      </w:r>
      <w:r>
        <w:t xml:space="preserve"> its </w:t>
      </w:r>
      <w:r>
        <w:t>7th</w:t>
      </w:r>
      <w:r>
        <w:t xml:space="preserve">. Each is </w:t>
      </w:r>
      <w:r>
        <w:t>a priority partner with strong ties today</w:t>
      </w:r>
      <w:r>
        <w:t xml:space="preserve">, and each votes in the </w:t>
      </w:r>
      <w:r>
        <w:t>same bloc</w:t>
      </w:r>
      <w:r>
        <w:t xml:space="preserve"> as Italy at the United Nations. Italy shares </w:t>
      </w:r>
      <w:r>
        <w:t>the G7, NATO and the Minerals Security Partnership</w:t>
      </w:r>
      <w:r>
        <w:t xml:space="preserve"> with </w:t>
      </w:r>
      <w:r>
        <w:t>Germany</w:t>
      </w:r>
      <w:r>
        <w:t xml:space="preserve">, but only </w:t>
      </w:r>
      <w:r>
        <w:t>NATO</w:t>
      </w:r>
      <w:r>
        <w:t xml:space="preserve"> with </w:t>
      </w:r>
      <w:r>
        <w:t>Spain</w:t>
      </w:r>
      <w:r>
        <w:t xml:space="preserve">. An exception is </w:t>
      </w:r>
      <w:r>
        <w:t>China</w:t>
      </w:r>
      <w:r>
        <w:t xml:space="preserve">, its </w:t>
      </w:r>
      <w:r>
        <w:t>2nd</w:t>
      </w:r>
      <w:r>
        <w:t xml:space="preserve"> trade partner: </w:t>
      </w:r>
      <w:r>
        <w:t>a strong tie today that the index ranks lower</w:t>
      </w:r>
      <w:r>
        <w:t xml:space="preserve"> (</w:t>
      </w:r>
      <w:r>
        <w:t>40th</w:t>
      </w:r>
      <w:r>
        <w:t xml:space="preserve">), and they vote in </w:t>
      </w:r>
      <w:r>
        <w:t>opposite blocs</w:t>
      </w:r>
      <w:r>
        <w:t xml:space="preserve"> at the United Nations.</w:t>
      </w:r>
      <w:r>
        <w:rPr>
          <w:color w:val="4B5563"/>
          <w:vertAlign w:val="superscript"/>
        </w:rPr>
        <w:t>1,2,9,10</w:t>
      </w:r>
    </w:p>
    <w:p>
      <w:r>
        <w:t xml:space="preserve">As a partner to the coalition, Italy itself ranks </w:t>
      </w:r>
      <w:r>
        <w:t>6th</w:t>
      </w:r>
      <w:r>
        <w:t xml:space="preserve"> of </w:t>
      </w:r>
      <w:r>
        <w:t>192</w:t>
      </w:r>
      <w:r>
        <w:t xml:space="preserve"> economies. In the allied network design, its derived shares include </w:t>
      </w:r>
      <w:r>
        <w:t>2.6%</w:t>
      </w:r>
      <w:r>
        <w:t xml:space="preserve"> of the coalition's designed production in </w:t>
      </w:r>
      <w:r>
        <w:t>midstream green hydrogen</w:t>
      </w:r>
      <w:r>
        <w:t xml:space="preserve"> and </w:t>
      </w:r>
      <w:r>
        <w:t>2.5%</w:t>
      </w:r>
      <w:r>
        <w:t xml:space="preserve"> in </w:t>
      </w:r>
      <w:r>
        <w:t>midstream gas</w:t>
      </w:r>
      <w:r>
        <w:t>.</w:t>
      </w:r>
      <w:r>
        <w:rPr>
          <w:color w:val="4B5563"/>
          <w:vertAlign w:val="superscript"/>
        </w:rPr>
        <w:t>1,6</w:t>
      </w:r>
    </w:p>
    <w:p>
      <w:pPr>
        <w:pStyle w:val="Heading1"/>
      </w:pPr>
      <w:r>
        <w:t>5. Data notes and caveats</w:t>
      </w:r>
    </w:p>
    <w:p>
      <w:r>
        <w:t xml:space="preserve">Baseline as of </w:t>
      </w:r>
      <w:r>
        <w:t>12 October 2026</w:t>
      </w:r>
      <w:r>
        <w:t xml:space="preserve">; details on the Country Insights page. </w:t>
      </w:r>
      <w:r>
        <w:t>Scores compare Italy with other economies in the same sector; they are not measures of risk or profit in absolute terms.</w:t>
      </w:r>
      <w:r>
        <w:t xml:space="preserve"> </w:t>
      </w:r>
      <w:r>
        <w:t>All index values are the paper's baseline as of 12 October 2026; Strategic Insights recomputes them under other weightings.</w:t>
      </w:r>
      <w:r>
        <w:t xml:space="preserve"> </w:t>
      </w:r>
      <w:r>
        <w:t>Strategic Index scores within 0.01 of each other are almost tied: small changes in the data or the weights can swap their order.</w:t>
      </w:r>
      <w:r>
        <w:t xml:space="preserve"> </w:t>
      </w:r>
      <w:r>
        <w:t>Trade figures count trade with other EU members.</w:t>
      </w:r>
      <w:r>
        <w:t xml:space="preserve"> </w:t>
      </w:r>
      <w:r>
        <w:t>The Climate Action Tracker rates the EU as a whole; Italy carries the EU's rating.</w:t>
      </w:r>
      <w:r>
        <w:t xml:space="preserve"> </w:t>
      </w:r>
      <w:r>
        <w:t>In the allied network design the European Union is one producer; Italy's shares are derived from its weight within the EU.</w:t>
      </w:r>
      <w:r>
        <w:t xml:space="preserve"> </w:t>
      </w:r>
      <w:r>
        <w:t>Many allied picks are close calls: in the paper, 37% of them are within 0.01 of the runner-up.</w:t>
      </w:r>
      <w:r>
        <w:t xml:space="preserve"> </w:t>
      </w:r>
      <w:r>
        <w:t>Italy's counts leave out the EU's own 438 International Energy Agency policy records.</w:t>
      </w:r>
    </w:p>
    <w:p>
      <w:pPr>
        <w:pStyle w:val="Heading2"/>
        <w:pBdr>
          <w:top w:val="single" w:sz="4" w:space="4" w:color="D1D5DB"/>
        </w:pBdr>
      </w:pPr>
      <w:r>
        <w:t>Sources</w:t>
      </w:r>
    </w:p>
    <w:p>
      <w:pPr>
        <w:pStyle w:val="ListNumber"/>
      </w:pPr>
      <w:r>
        <w:rPr>
          <w:sz w:val="17"/>
        </w:rPr>
        <w:t>Energy Security, Economic Opportunity, Strategic Index and Partnership Strength Index, paper baseline (Opportunity Security Indices pipeline); CC BY 4.0 (the paper's indices).</w:t>
      </w:r>
    </w:p>
    <w:p>
      <w:pPr>
        <w:pStyle w:val="ListNumber"/>
      </w:pPr>
      <w:r>
        <w:rPr>
          <w:sz w:val="17"/>
        </w:rPr>
        <w:t>United Nations, UN Comtrade Database, HS6 bilateral trade (all reporters), 2020 and 2024; reconciled by the authors (pulled 2026-10-07 to 2026-10-09); attribution; https://comtradeplus.un.org/.</w:t>
      </w:r>
    </w:p>
    <w:p>
      <w:pPr>
        <w:pStyle w:val="ListNumber"/>
      </w:pPr>
      <w:r>
        <w:rPr>
          <w:sz w:val="17"/>
        </w:rPr>
        <w:t>Energy Institute, Statistical Review of World Energy 2026 (data to 2025); attribution; https://www.energyinst.org/statistical-review.</w:t>
      </w:r>
    </w:p>
    <w:p>
      <w:pPr>
        <w:pStyle w:val="ListNumber"/>
      </w:pPr>
      <w:r>
        <w:rPr>
          <w:sz w:val="17"/>
        </w:rPr>
        <w:t>Growth Lab at Harvard University, The Atlas of Economic Complexity, HS92 6-digit country-product-year data (data to 2023); attribution; https://atlas.hks.harvard.edu/.</w:t>
      </w:r>
    </w:p>
    <w:p>
      <w:pPr>
        <w:pStyle w:val="ListNumber"/>
      </w:pPr>
      <w:r>
        <w:rPr>
          <w:sz w:val="17"/>
        </w:rPr>
        <w:t>United Nations, UN Comtrade Database, exports to World by reporter, 2024 (2024 data); attribution; https://comtradeplus.un.org/.</w:t>
      </w:r>
    </w:p>
    <w:p>
      <w:pPr>
        <w:pStyle w:val="ListNumber"/>
      </w:pPr>
      <w:r>
        <w:rPr>
          <w:sz w:val="17"/>
        </w:rPr>
        <w:t>Allied network design (the paper's model design of coalition production shares).</w:t>
      </w:r>
    </w:p>
    <w:p>
      <w:pPr>
        <w:pStyle w:val="ListNumber"/>
      </w:pPr>
      <w:r>
        <w:rPr>
          <w:sz w:val="17"/>
        </w:rPr>
        <w:t>International Energy Agency, Policies and Measures Database (export of 2026-09-30); attribution; https://www.iea.org/policies.</w:t>
      </w:r>
    </w:p>
    <w:p>
      <w:pPr>
        <w:pStyle w:val="ListNumber"/>
      </w:pPr>
      <w:r>
        <w:rPr>
          <w:sz w:val="17"/>
        </w:rPr>
        <w:t>Climate Action Tracker, country ratings (ratings updated 2022-2025); attribution; https://climateactiontracker.org/.</w:t>
      </w:r>
    </w:p>
    <w:p>
      <w:pPr>
        <w:pStyle w:val="ListNumber"/>
      </w:pPr>
      <w:r>
        <w:rPr>
          <w:sz w:val="17"/>
        </w:rPr>
        <w:t>Bailey, M., Strezhnev, A. and Voeten, E., United Nations General Assembly Voting Data, ideal points (Harvard Dataverse V39.0) (sessions to 2023); attribution; https://dataverse.harvard.edu/dataset.xhtml?persistentId=hdl:1902.1/12379.</w:t>
      </w:r>
    </w:p>
    <w:p>
      <w:pPr>
        <w:pStyle w:val="ListNumber"/>
      </w:pPr>
      <w:r>
        <w:rPr>
          <w:sz w:val="17"/>
        </w:rPr>
        <w:t>Economic-security agreements: G7, NATO, Indo-Pacific Economic Framework, Minerals Security Partnership (and Forum), U.S. free-trade agreements (compiled by the authors from official membership lists).</w:t>
      </w:r>
    </w:p>
    <w:p>
      <w:pPr>
        <w:pBdr>
          <w:top w:val="single" w:sz="4" w:space="4" w:color="D1D5DB"/>
        </w:pBdr>
      </w:pPr>
      <w:r>
        <w:rPr>
          <w:i/>
          <w:color w:val="4B5563"/>
          <w:sz w:val="18"/>
        </w:rPr>
        <w:t>AI-generated from the data and checked against it; paper baseline as of 12 October 2026.</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i/>
        <w:color w:val="4B5563"/>
        <w:sz w:val="16"/>
      </w:rPr>
      <w:t>AI-generated from the data and checked against it; paper baseline as of 12 October 2026.  Allied Industrial Base Explorer, Country Insights: Italy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1827"/>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1182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11182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11182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Italy: energy security, economic opportunity and partnership priorities</dc:title>
  <dc:subject>Country Insights policy memo</dc:subject>
  <dc:creator>NEIS Center, Allied Industrial Base Explorer (AI-generated, checked against the data)</dc:creator>
  <cp:keywords>energy security; economic opportunity; Strategic Index; Partnership Strength Index; ITA</cp:keywords>
  <dc:description>paper baseline as of 12 October 2026; fact sheet sha256 c20a89e183335b9dd3dbe6334c1ffba05f9b5c34bd4e96ca7facfab19ff50e3a</dc:description>
  <cp:lastModifiedBy/>
  <cp:revision>1</cp:revision>
  <dcterms:created xsi:type="dcterms:W3CDTF">2013-12-23T23:15:00Z</dcterms:created>
  <dcterms:modified xsi:type="dcterms:W3CDTF">2013-12-23T23:15:00Z</dcterms:modified>
  <cp:category/>
</cp:coreProperties>
</file>