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Japan: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5</w:t>
            </w:r>
            <w:r>
              <w:t xml:space="preserve"> of the </w:t>
            </w:r>
            <w:r>
              <w:t>30</w:t>
            </w:r>
            <w:r>
              <w:t xml:space="preserve"> placed sectors of Japan sit in the two low-energy-security corners. Its lowest Energy Security percentiles are in </w:t>
            </w:r>
            <w:r>
              <w:t>upstream gas</w:t>
            </w:r>
            <w:r>
              <w:t xml:space="preserve"> and </w:t>
            </w:r>
            <w:r>
              <w:t>upstream oil</w:t>
            </w:r>
            <w:r>
              <w:t>, where production falls short of consumption and no reserves are recorded.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highest Economic Opportunity percentiles are in </w:t>
            </w:r>
            <w:r>
              <w:t>downstream nuclear</w:t>
            </w:r>
            <w:r>
              <w:t xml:space="preserve"> and </w:t>
            </w:r>
            <w:r>
              <w:t>downstream coal</w:t>
            </w:r>
            <w:r>
              <w:t xml:space="preserve">, where it scores higher than </w:t>
            </w:r>
            <w:r>
              <w:t>97%</w:t>
            </w:r>
            <w:r>
              <w:t xml:space="preserve"> and </w:t>
            </w:r>
            <w:r>
              <w:t>96%</w:t>
            </w:r>
            <w:r>
              <w:t xml:space="preserve"> of the other economies scored.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its top Strategic Index sector among its own sectors is </w:t>
            </w:r>
            <w:r>
              <w:t>downstream batteries</w:t>
            </w:r>
            <w:r>
              <w:t xml:space="preserve">; it ranks </w:t>
            </w:r>
            <w:r>
              <w:t>1st</w:t>
            </w:r>
            <w:r>
              <w:t xml:space="preserve"> on policy activity but only </w:t>
            </w:r>
            <w:r>
              <w:t>15th</w:t>
            </w:r>
            <w:r>
              <w:t xml:space="preserve"> without the policy term.</w:t>
            </w:r>
            <w:r>
              <w:rPr>
                <w:color w:val="4B5563"/>
                <w:vertAlign w:val="superscript"/>
              </w:rPr>
              <w:t>1,2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United States</w:t>
            </w:r>
            <w:r>
              <w:t xml:space="preserve"> highest for Japan, as a </w:t>
            </w:r>
            <w:r>
              <w:t>reliable supplier</w:t>
            </w:r>
            <w:r>
              <w:t xml:space="preserve">. The </w:t>
            </w:r>
            <w:r>
              <w:t>United States</w:t>
            </w:r>
            <w:r>
              <w:t xml:space="preserve"> is </w:t>
            </w:r>
            <w:r>
              <w:t>a priority partner with strong ties today</w:t>
            </w:r>
            <w:r>
              <w:t xml:space="preserve">, while </w:t>
            </w:r>
            <w:r>
              <w:t>China</w:t>
            </w:r>
            <w:r>
              <w:t xml:space="preserve">, its </w:t>
            </w:r>
            <w:r>
              <w:t>1st</w:t>
            </w:r>
            <w:r>
              <w:t xml:space="preserve"> trade partner, is </w:t>
            </w:r>
            <w:r>
              <w:t>a strong tie today that the index ranks lower</w:t>
            </w:r>
            <w:r>
              <w:t>.</w:t>
            </w:r>
            <w:r>
              <w:rPr>
                <w:color w:val="4B5563"/>
                <w:vertAlign w:val="superscript"/>
              </w:rPr>
              <w:t>1,3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 xml:space="preserve">Of the </w:t>
      </w:r>
      <w:r>
        <w:t>30</w:t>
      </w:r>
      <w:r>
        <w:t xml:space="preserve"> placed sectors of Japan, </w:t>
      </w:r>
      <w:r>
        <w:t>5</w:t>
      </w:r>
      <w:r>
        <w:t xml:space="preserve"> sit in the two low-energy-security corners: </w:t>
      </w:r>
      <w:r>
        <w:t>5</w:t>
      </w:r>
      <w:r>
        <w:t xml:space="preserve"> in the Secure corner, which pairs low opportunity with low energy security, and </w:t>
      </w:r>
      <w:r>
        <w:t>0</w:t>
      </w:r>
      <w:r>
        <w:t xml:space="preserve"> in the Upgrade corner.</w:t>
      </w:r>
      <w:r>
        <w:rPr>
          <w:color w:val="4B5563"/>
          <w:vertAlign w:val="superscript"/>
        </w:rPr>
        <w:t>1</w:t>
      </w:r>
    </w:p>
    <w:p>
      <w:r>
        <w:t xml:space="preserve">Its lowest Energy Security percentiles are in </w:t>
      </w:r>
      <w:r>
        <w:t>upstream gas</w:t>
      </w:r>
      <w:r>
        <w:t xml:space="preserve">, </w:t>
      </w:r>
      <w:r>
        <w:t>upstream oil</w:t>
      </w:r>
      <w:r>
        <w:t xml:space="preserve"> and </w:t>
      </w:r>
      <w:r>
        <w:t>downstream solar</w:t>
      </w:r>
      <w:r>
        <w:t xml:space="preserve">: it scores higher than </w:t>
      </w:r>
      <w:r>
        <w:t>1%</w:t>
      </w:r>
      <w:r>
        <w:t xml:space="preserve">, </w:t>
      </w:r>
      <w:r>
        <w:t>4%</w:t>
      </w:r>
      <w:r>
        <w:t xml:space="preserve"> and </w:t>
      </w:r>
      <w:r>
        <w:t>23%</w:t>
      </w:r>
      <w:r>
        <w:t xml:space="preserve"> of the other </w:t>
      </w:r>
      <w:r>
        <w:t>97</w:t>
      </w:r>
      <w:r>
        <w:t xml:space="preserve">, </w:t>
      </w:r>
      <w:r>
        <w:t>96</w:t>
      </w:r>
      <w:r>
        <w:t xml:space="preserve"> and </w:t>
      </w:r>
      <w:r>
        <w:t>147</w:t>
      </w:r>
      <w:r>
        <w:t xml:space="preserve"> economies scored. Each sits in the </w:t>
      </w:r>
      <w:r>
        <w:t>Secure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upstream gas</w:t>
      </w:r>
      <w:r>
        <w:t xml:space="preserve"> and </w:t>
      </w:r>
      <w:r>
        <w:t>upstream oil</w:t>
      </w:r>
      <w:r>
        <w:t xml:space="preserve">, its </w:t>
      </w:r>
      <w:r>
        <w:t>energy imports</w:t>
      </w:r>
      <w:r>
        <w:t xml:space="preserve"> and </w:t>
      </w:r>
      <w:r>
        <w:t>reserves</w:t>
      </w:r>
      <w:r>
        <w:t xml:space="preserve"> pull the score down. Gas production minus consumption was </w:t>
      </w:r>
      <w:r>
        <w:t>-3.19 EJ</w:t>
      </w:r>
      <w:r>
        <w:t xml:space="preserve"> in </w:t>
      </w:r>
      <w:r>
        <w:t>2025</w:t>
      </w:r>
      <w:r>
        <w:t xml:space="preserve">, and oil production minus consumption </w:t>
      </w:r>
      <w:r>
        <w:t>-6.49 EJ</w:t>
      </w:r>
      <w:r>
        <w:t xml:space="preserve"> in </w:t>
      </w:r>
      <w:r>
        <w:t>2025</w:t>
      </w:r>
      <w:r>
        <w:t xml:space="preserve">. For both, the figures use </w:t>
      </w:r>
      <w:r>
        <w:t>production from the U.S. Energy Information Administration's international statistics, as the Energy Institute does not report it separately</w:t>
      </w:r>
      <w:r>
        <w:t xml:space="preserve">. No gas or oil reserves are recorded, which the index counts as zero. For context, its largest suppliers in </w:t>
      </w:r>
      <w:r>
        <w:t>2024</w:t>
      </w:r>
      <w:r>
        <w:t xml:space="preserve"> were </w:t>
      </w:r>
      <w:r>
        <w:t>Australia</w:t>
      </w:r>
      <w:r>
        <w:t xml:space="preserve"> (</w:t>
      </w:r>
      <w:r>
        <w:t>35.3%</w:t>
      </w:r>
      <w:r>
        <w:t xml:space="preserve">) and the </w:t>
      </w:r>
      <w:r>
        <w:t>United States</w:t>
      </w:r>
      <w:r>
        <w:t xml:space="preserve"> (</w:t>
      </w:r>
      <w:r>
        <w:t>15.4%</w:t>
      </w:r>
      <w:r>
        <w:t xml:space="preserve">) for gas, and the </w:t>
      </w:r>
      <w:r>
        <w:t>United Arab Emirates</w:t>
      </w:r>
      <w:r>
        <w:t xml:space="preserve"> (</w:t>
      </w:r>
      <w:r>
        <w:t>38.4%</w:t>
      </w:r>
      <w:r>
        <w:t xml:space="preserve">) and </w:t>
      </w:r>
      <w:r>
        <w:t>Saudi Arabia</w:t>
      </w:r>
      <w:r>
        <w:t xml:space="preserve"> (</w:t>
      </w:r>
      <w:r>
        <w:t>32.0%</w:t>
      </w:r>
      <w:r>
        <w:t>) for oil.</w:t>
      </w:r>
      <w:r>
        <w:rPr>
          <w:color w:val="4B5563"/>
          <w:vertAlign w:val="superscript"/>
        </w:rPr>
        <w:t>3,4,5</w:t>
      </w:r>
    </w:p>
    <w:p>
      <w:r>
        <w:t xml:space="preserve">In </w:t>
      </w:r>
      <w:r>
        <w:t>downstream solar</w:t>
      </w:r>
      <w:r>
        <w:t xml:space="preserve">, its </w:t>
      </w:r>
      <w:r>
        <w:t>investment</w:t>
      </w:r>
      <w:r>
        <w:t xml:space="preserve"> and </w:t>
      </w:r>
      <w:r>
        <w:t>reserves</w:t>
      </w:r>
      <w:r>
        <w:t xml:space="preserve"> pull the score down. On growth in investment it scores </w:t>
      </w:r>
      <w:r>
        <w:t>0.00</w:t>
      </w:r>
      <w:r>
        <w:t xml:space="preserve"> against a median of </w:t>
      </w:r>
      <w:r>
        <w:t>0.48</w:t>
      </w:r>
      <w:r>
        <w:t xml:space="preserve">, and on solar resource potential it scores higher than </w:t>
      </w:r>
      <w:r>
        <w:t>35%</w:t>
      </w:r>
      <w:r>
        <w:t xml:space="preserve"> of the other economies.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batteries</w:t>
      </w:r>
      <w:r>
        <w:t xml:space="preserve">, a high-priority sector, its Energy Security is higher than </w:t>
      </w:r>
      <w:r>
        <w:t>91%</w:t>
      </w:r>
      <w:r>
        <w:t xml:space="preserve"> of the other </w:t>
      </w:r>
      <w:r>
        <w:t>138</w:t>
      </w:r>
      <w:r>
        <w:t xml:space="preserve"> economies scored. </w:t>
      </w:r>
      <w:r>
        <w:t>Investment</w:t>
      </w:r>
      <w:r>
        <w:t xml:space="preserve"> pushes the score up, while </w:t>
      </w:r>
      <w:r>
        <w:t>consumption</w:t>
      </w:r>
      <w:r>
        <w:t xml:space="preserve"> pulls it down: on </w:t>
      </w:r>
      <w:r>
        <w:t>growth in use per person to 2035</w:t>
      </w:r>
      <w:r>
        <w:t xml:space="preserve">, it scores higher than only </w:t>
      </w:r>
      <w:r>
        <w:t>1%</w:t>
      </w:r>
      <w:r>
        <w:t xml:space="preserve"> of the other economies.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2. Economic opportunities and why</w:t>
      </w:r>
    </w:p>
    <w:p>
      <w:r>
        <w:t>17</w:t>
      </w:r>
      <w:r>
        <w:t xml:space="preserve"> of its placed sectors sit in the two high-opportunity corners. Its highest Economic Opportunity percentiles are in </w:t>
      </w:r>
      <w:r>
        <w:t>downstream nuclear</w:t>
      </w:r>
      <w:r>
        <w:t xml:space="preserve">, </w:t>
      </w:r>
      <w:r>
        <w:t>downstream coal</w:t>
      </w:r>
      <w:r>
        <w:t xml:space="preserve"> and </w:t>
      </w:r>
      <w:r>
        <w:t>midstream coal</w:t>
      </w:r>
      <w:r>
        <w:t xml:space="preserve">: it scores higher than </w:t>
      </w:r>
      <w:r>
        <w:t>97%</w:t>
      </w:r>
      <w:r>
        <w:t xml:space="preserve">, </w:t>
      </w:r>
      <w:r>
        <w:t>96%</w:t>
      </w:r>
      <w:r>
        <w:t xml:space="preserve"> and </w:t>
      </w:r>
      <w:r>
        <w:t>95%</w:t>
      </w:r>
      <w:r>
        <w:t xml:space="preserve"> of the other </w:t>
      </w:r>
      <w:r>
        <w:t>66</w:t>
      </w:r>
      <w:r>
        <w:t xml:space="preserve">, </w:t>
      </w:r>
      <w:r>
        <w:t>98</w:t>
      </w:r>
      <w:r>
        <w:t xml:space="preserve"> and </w:t>
      </w:r>
      <w:r>
        <w:t>154</w:t>
      </w:r>
      <w:r>
        <w:t xml:space="preserve"> economies scored.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nuclear</w:t>
      </w:r>
      <w:r>
        <w:t xml:space="preserve">, </w:t>
      </w:r>
      <w:r>
        <w:t>investment</w:t>
      </w:r>
      <w:r>
        <w:t xml:space="preserve"> and </w:t>
      </w:r>
      <w:r>
        <w:t>production</w:t>
      </w:r>
      <w:r>
        <w:t xml:space="preserve"> push the score up; it produced </w:t>
      </w:r>
      <w:r>
        <w:t>94.1 TWh</w:t>
      </w:r>
      <w:r>
        <w:t xml:space="preserve"> in </w:t>
      </w:r>
      <w:r>
        <w:t>2025</w:t>
      </w:r>
      <w:r>
        <w:t xml:space="preserve">. In </w:t>
      </w:r>
      <w:r>
        <w:t>downstream coal</w:t>
      </w:r>
      <w:r>
        <w:t xml:space="preserve">, </w:t>
      </w:r>
      <w:r>
        <w:t>consumption</w:t>
      </w:r>
      <w:r>
        <w:t xml:space="preserve"> and </w:t>
      </w:r>
      <w:r>
        <w:t>energy access</w:t>
      </w:r>
      <w:r>
        <w:t xml:space="preserve"> push the score up; its consumption in this sector was </w:t>
      </w:r>
      <w:r>
        <w:t>35.4 GJ per person</w:t>
      </w:r>
      <w:r>
        <w:t xml:space="preserve"> in </w:t>
      </w:r>
      <w:r>
        <w:t>2025</w:t>
      </w:r>
      <w:r>
        <w:t>.</w:t>
      </w:r>
      <w:r>
        <w:rPr>
          <w:color w:val="4B5563"/>
          <w:vertAlign w:val="superscript"/>
        </w:rPr>
        <w:t>4</w:t>
      </w:r>
    </w:p>
    <w:p>
      <w:r>
        <w:t xml:space="preserve">In </w:t>
      </w:r>
      <w:r>
        <w:t>midstream coal</w:t>
      </w:r>
      <w:r>
        <w:t xml:space="preserve">, </w:t>
      </w:r>
      <w:r>
        <w:t>trade</w:t>
      </w:r>
      <w:r>
        <w:t xml:space="preserve"> and </w:t>
      </w:r>
      <w:r>
        <w:t>technology demand</w:t>
      </w:r>
      <w:r>
        <w:t xml:space="preserve"> push the score up. It held </w:t>
      </w:r>
      <w:r>
        <w:t>5.7%</w:t>
      </w:r>
      <w:r>
        <w:t xml:space="preserve"> of world exports in </w:t>
      </w:r>
      <w:r>
        <w:t>2023</w:t>
      </w:r>
      <w:r>
        <w:t xml:space="preserve">, with a revealed comparative advantage of </w:t>
      </w:r>
      <w:r>
        <w:t>1.95</w:t>
      </w:r>
      <w:r>
        <w:t xml:space="preserve"> in </w:t>
      </w:r>
      <w:r>
        <w:t>2024</w:t>
      </w:r>
      <w:r>
        <w:t xml:space="preserve">; part of the demand measure is filled in with the world average. For context, its largest markets in </w:t>
      </w:r>
      <w:r>
        <w:t>2024</w:t>
      </w:r>
      <w:r>
        <w:t xml:space="preserve"> were the </w:t>
      </w:r>
      <w:r>
        <w:t>United Kingdom</w:t>
      </w:r>
      <w:r>
        <w:t xml:space="preserve"> (</w:t>
      </w:r>
      <w:r>
        <w:t>22.5%</w:t>
      </w:r>
      <w:r>
        <w:t xml:space="preserve">) and </w:t>
      </w:r>
      <w:r>
        <w:t>India</w:t>
      </w:r>
      <w:r>
        <w:t xml:space="preserve"> (</w:t>
      </w:r>
      <w:r>
        <w:t>13.2%</w:t>
      </w:r>
      <w:r>
        <w:t>).</w:t>
      </w:r>
      <w:r>
        <w:rPr>
          <w:color w:val="4B5563"/>
          <w:vertAlign w:val="superscript"/>
        </w:rPr>
        <w:t>3,6,7</w:t>
      </w:r>
    </w:p>
    <w:p>
      <w:r>
        <w:t xml:space="preserve">Among its high-priority sectors, </w:t>
      </w:r>
      <w:r>
        <w:t>upstream wind</w:t>
      </w:r>
      <w:r>
        <w:t xml:space="preserve"> scores higher than </w:t>
      </w:r>
      <w:r>
        <w:t>90%</w:t>
      </w:r>
      <w:r>
        <w:t xml:space="preserve"> of the other </w:t>
      </w:r>
      <w:r>
        <w:t>90</w:t>
      </w:r>
      <w:r>
        <w:t xml:space="preserve"> economies, lifted by </w:t>
      </w:r>
      <w:r>
        <w:t>trade</w:t>
      </w:r>
      <w:r>
        <w:t xml:space="preserve"> and </w:t>
      </w:r>
      <w:r>
        <w:t>technology demand</w:t>
      </w:r>
      <w:r>
        <w:t xml:space="preserve">. Its revealed comparative advantage in these goods was </w:t>
      </w:r>
      <w:r>
        <w:t>3.17</w:t>
      </w:r>
      <w:r>
        <w:t xml:space="preserve"> in </w:t>
      </w:r>
      <w:r>
        <w:t>2024</w:t>
      </w:r>
      <w:r>
        <w:t xml:space="preserve">. In </w:t>
      </w:r>
      <w:r>
        <w:t>downstream batteries</w:t>
      </w:r>
      <w:r>
        <w:t xml:space="preserve">, it scores higher than </w:t>
      </w:r>
      <w:r>
        <w:t>79%</w:t>
      </w:r>
      <w:r>
        <w:t xml:space="preserve"> of the other </w:t>
      </w:r>
      <w:r>
        <w:t>138</w:t>
      </w:r>
      <w:r>
        <w:t xml:space="preserve"> economies, lifted by </w:t>
      </w:r>
      <w:r>
        <w:t>investment</w:t>
      </w:r>
      <w:r>
        <w:t>.</w:t>
      </w:r>
      <w:r>
        <w:rPr>
          <w:color w:val="4B5563"/>
          <w:vertAlign w:val="superscript"/>
        </w:rPr>
        <w:t>1,7</w:t>
      </w:r>
    </w:p>
    <w:p>
      <w:pPr>
        <w:pStyle w:val="Heading1"/>
      </w:pPr>
      <w:r>
        <w:t>3. Sectoral priorities and the existing policy posture</w:t>
      </w:r>
    </w:p>
    <w:p>
      <w:r>
        <w:t xml:space="preserve">On the paper's weighting, the Strategic Index ranks </w:t>
      </w:r>
      <w:r>
        <w:t>downstream batteries</w:t>
      </w:r>
      <w:r>
        <w:t xml:space="preserve"> </w:t>
      </w:r>
      <w:r>
        <w:t>1st</w:t>
      </w:r>
      <w:r>
        <w:t xml:space="preserve">, </w:t>
      </w:r>
      <w:r>
        <w:t>upstream batteries</w:t>
      </w:r>
      <w:r>
        <w:t xml:space="preserve"> </w:t>
      </w:r>
      <w:r>
        <w:t>2nd</w:t>
      </w:r>
      <w:r>
        <w:t xml:space="preserve">, </w:t>
      </w:r>
      <w:r>
        <w:t>upstream wind</w:t>
      </w:r>
      <w:r>
        <w:t xml:space="preserve"> </w:t>
      </w:r>
      <w:r>
        <w:t>3rd</w:t>
      </w:r>
      <w:r>
        <w:t xml:space="preserve">, </w:t>
      </w:r>
      <w:r>
        <w:t>upstream solar</w:t>
      </w:r>
      <w:r>
        <w:t xml:space="preserve"> </w:t>
      </w:r>
      <w:r>
        <w:t>4th</w:t>
      </w:r>
      <w:r>
        <w:t xml:space="preserve"> and </w:t>
      </w:r>
      <w:r>
        <w:t>upstream nuclear</w:t>
      </w:r>
      <w:r>
        <w:t xml:space="preserve"> </w:t>
      </w:r>
      <w:r>
        <w:t>5th</w:t>
      </w:r>
      <w:r>
        <w:t xml:space="preserve"> among the sectors of Japan. The lead of </w:t>
      </w:r>
      <w:r>
        <w:t>downstream batteries</w:t>
      </w:r>
      <w:r>
        <w:t xml:space="preserve"> is </w:t>
      </w:r>
      <w:r>
        <w:t>0.012</w:t>
      </w:r>
      <w:r>
        <w:t xml:space="preserve">; the sectors after it are almost tied, with neighbours </w:t>
      </w:r>
      <w:r>
        <w:t>0.003</w:t>
      </w:r>
      <w:r>
        <w:t xml:space="preserve">, </w:t>
      </w:r>
      <w:r>
        <w:t>0.001</w:t>
      </w:r>
      <w:r>
        <w:t xml:space="preserve"> and </w:t>
      </w:r>
      <w:r>
        <w:t>0.004</w:t>
      </w:r>
      <w:r>
        <w:t xml:space="preserve"> apart. On policy activity, </w:t>
      </w:r>
      <w:r>
        <w:t>downstream batteries</w:t>
      </w:r>
      <w:r>
        <w:t xml:space="preserve"> ranks </w:t>
      </w:r>
      <w:r>
        <w:t>1st</w:t>
      </w:r>
      <w:r>
        <w:t xml:space="preserve">, but on data-based priority (the Strategic Index without its policy term) only </w:t>
      </w:r>
      <w:r>
        <w:t>15th</w:t>
      </w:r>
      <w:r>
        <w:t xml:space="preserve">, so its lead rests on policy. With no sector in the Upgrade corner, the paper's rule takes its </w:t>
      </w:r>
      <w:r>
        <w:t>3</w:t>
      </w:r>
      <w:r>
        <w:t xml:space="preserve"> highest Strategic Index sectors as high-priority.</w:t>
      </w:r>
      <w:r>
        <w:rPr>
          <w:color w:val="4B5563"/>
          <w:vertAlign w:val="superscript"/>
        </w:rPr>
        <w:t>1,2</w:t>
      </w:r>
    </w:p>
    <w:p>
      <w:r>
        <w:t xml:space="preserve">Its allied pick in the network design is </w:t>
      </w:r>
      <w:r>
        <w:t>upstream nuclear</w:t>
      </w:r>
      <w:r>
        <w:t xml:space="preserve">, ahead of the runner-up, </w:t>
      </w:r>
      <w:r>
        <w:t>midstream batteries</w:t>
      </w:r>
      <w:r>
        <w:t xml:space="preserve">, by </w:t>
      </w:r>
      <w:r>
        <w:t>0.023</w:t>
      </w:r>
      <w:r>
        <w:t xml:space="preserve">. The pick skips upstream sectors without a resource base, which on the data include </w:t>
      </w:r>
      <w:r>
        <w:t>upstream batteries</w:t>
      </w:r>
      <w:r>
        <w:t xml:space="preserve">, </w:t>
      </w:r>
      <w:r>
        <w:t>upstream wind</w:t>
      </w:r>
      <w:r>
        <w:t xml:space="preserve"> and </w:t>
      </w:r>
      <w:r>
        <w:t>upstream solar</w:t>
      </w:r>
      <w:r>
        <w:t>.</w:t>
      </w:r>
      <w:r>
        <w:rPr>
          <w:color w:val="4B5563"/>
          <w:vertAlign w:val="superscript"/>
        </w:rPr>
        <w:t>8</w:t>
      </w:r>
    </w:p>
    <w:p>
      <w:r>
        <w:t xml:space="preserve">The Climate Action Tracker rates Japan </w:t>
      </w:r>
      <w:r>
        <w:t>Insufficient</w:t>
      </w:r>
      <w:r>
        <w:t xml:space="preserve"> (</w:t>
      </w:r>
      <w:r>
        <w:t>November 2024</w:t>
      </w:r>
      <w:r>
        <w:t xml:space="preserve">). The International Energy Agency's Policies and Measures database holds </w:t>
      </w:r>
      <w:r>
        <w:t>302</w:t>
      </w:r>
      <w:r>
        <w:t xml:space="preserve"> records for it, </w:t>
      </w:r>
      <w:r>
        <w:t>198</w:t>
      </w:r>
      <w:r>
        <w:t xml:space="preserve"> of them naming a technology; </w:t>
      </w:r>
      <w:r>
        <w:t>0</w:t>
      </w:r>
      <w:r>
        <w:t xml:space="preserve"> name both the technology and the stage of </w:t>
      </w:r>
      <w:r>
        <w:t>upstream wind</w:t>
      </w:r>
      <w:r>
        <w:t xml:space="preserve">. Ranked within Japan, policy activity places </w:t>
      </w:r>
      <w:r>
        <w:t>upstream batteries</w:t>
      </w:r>
      <w:r>
        <w:t xml:space="preserve">, </w:t>
      </w:r>
      <w:r>
        <w:t>upstream wind</w:t>
      </w:r>
      <w:r>
        <w:t xml:space="preserve">, </w:t>
      </w:r>
      <w:r>
        <w:t>upstream solar</w:t>
      </w:r>
      <w:r>
        <w:t xml:space="preserve"> and </w:t>
      </w:r>
      <w:r>
        <w:t>upstream nuclear</w:t>
      </w:r>
      <w:r>
        <w:t xml:space="preserve"> in the </w:t>
      </w:r>
      <w:r>
        <w:t>middle</w:t>
      </w:r>
      <w:r>
        <w:t xml:space="preserve"> group. Splitting data-based priority and policy activity into thirds, the sectors with top priority and the least policy are </w:t>
      </w:r>
      <w:r>
        <w:t>upstream electric vehicles and upstream gas</w:t>
      </w:r>
      <w:r>
        <w:t xml:space="preserve">. They rank </w:t>
      </w:r>
      <w:r>
        <w:t>7th</w:t>
      </w:r>
      <w:r>
        <w:t xml:space="preserve"> and </w:t>
      </w:r>
      <w:r>
        <w:t>9th</w:t>
      </w:r>
      <w:r>
        <w:t xml:space="preserve"> on data-based priority but </w:t>
      </w:r>
      <w:r>
        <w:t>23rd</w:t>
      </w:r>
      <w:r>
        <w:t xml:space="preserve"> and </w:t>
      </w:r>
      <w:r>
        <w:t>24th</w:t>
      </w:r>
      <w:r>
        <w:t xml:space="preserve"> on policy activity. Those with bottom priority and the most policy are </w:t>
      </w:r>
      <w:r>
        <w:t>downstream geothermal and downstream green hydrogen</w:t>
      </w:r>
      <w:r>
        <w:t>.</w:t>
      </w:r>
      <w:r>
        <w:rPr>
          <w:color w:val="4B5563"/>
          <w:vertAlign w:val="superscript"/>
        </w:rPr>
        <w:t>1,2,9</w:t>
      </w:r>
    </w:p>
    <w:p>
      <w:r>
        <w:t>Country Insights also lists, as context, Global Trade Alert's industrial-policy measures for Japan.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scores how much a partner offers as a reliable supplier, an export market and a place to build supply chains together. From the viewpoint of Japan, it rates the </w:t>
      </w:r>
      <w:r>
        <w:t>United States</w:t>
      </w:r>
      <w:r>
        <w:t xml:space="preserve"> highest, as a </w:t>
      </w:r>
      <w:r>
        <w:t>reliable supplier</w:t>
      </w:r>
      <w:r>
        <w:t xml:space="preserve">. Its best supplier scores are in </w:t>
      </w:r>
      <w:r>
        <w:t>midstream batteries, midstream solar, upstream gas, midstream electric vehicles and midstream wind</w:t>
      </w:r>
      <w:r>
        <w:t xml:space="preserve">. The </w:t>
      </w:r>
      <w:r>
        <w:t>United States</w:t>
      </w:r>
      <w:r>
        <w:t xml:space="preserve"> is also its </w:t>
      </w:r>
      <w:r>
        <w:t>2nd</w:t>
      </w:r>
      <w:r>
        <w:t xml:space="preserve"> trade partner on average across its energy-goods baskets, and both belong to </w:t>
      </w:r>
      <w:r>
        <w:t>the G7, the Indo-Pacific Economic Framework and the Minerals Security Partnership</w:t>
      </w:r>
      <w:r>
        <w:t xml:space="preserve">. Firms from Japan have </w:t>
      </w:r>
      <w:r>
        <w:t>30</w:t>
      </w:r>
      <w:r>
        <w:t xml:space="preserve"> cross-border factory projects there.</w:t>
      </w:r>
      <w:r>
        <w:rPr>
          <w:color w:val="4B5563"/>
          <w:vertAlign w:val="superscript"/>
        </w:rPr>
        <w:t>1,3,10,11</w:t>
      </w:r>
    </w:p>
    <w:p>
      <w:r>
        <w:t xml:space="preserve">The index then ranks the </w:t>
      </w:r>
      <w:r>
        <w:t>Czech Republic</w:t>
      </w:r>
      <w:r>
        <w:t xml:space="preserve"> </w:t>
      </w:r>
      <w:r>
        <w:t>2nd</w:t>
      </w:r>
      <w:r>
        <w:t xml:space="preserve">, as an </w:t>
      </w:r>
      <w:r>
        <w:t>export market</w:t>
      </w:r>
      <w:r>
        <w:t xml:space="preserve">, and </w:t>
      </w:r>
      <w:r>
        <w:t>Canada</w:t>
      </w:r>
      <w:r>
        <w:t xml:space="preserve"> </w:t>
      </w:r>
      <w:r>
        <w:t>3rd</w:t>
      </w:r>
      <w:r>
        <w:t xml:space="preserve"> and </w:t>
      </w:r>
      <w:r>
        <w:t>Portugal</w:t>
      </w:r>
      <w:r>
        <w:t xml:space="preserve"> </w:t>
      </w:r>
      <w:r>
        <w:t>4th</w:t>
      </w:r>
      <w:r>
        <w:t xml:space="preserve">, each as a </w:t>
      </w:r>
      <w:r>
        <w:t>reliable supplier</w:t>
      </w:r>
      <w:r>
        <w:t xml:space="preserve">. The </w:t>
      </w:r>
      <w:r>
        <w:t>Czech Republic</w:t>
      </w:r>
      <w:r>
        <w:t xml:space="preserve"> and </w:t>
      </w:r>
      <w:r>
        <w:t>Portugal</w:t>
      </w:r>
      <w:r>
        <w:t xml:space="preserve"> are each </w:t>
      </w:r>
      <w:r>
        <w:t>a priority partner with few ties today</w:t>
      </w:r>
      <w:r>
        <w:t xml:space="preserve">: they are only its </w:t>
      </w:r>
      <w:r>
        <w:t>32nd</w:t>
      </w:r>
      <w:r>
        <w:t xml:space="preserve"> and </w:t>
      </w:r>
      <w:r>
        <w:t>80th</w:t>
      </w:r>
      <w:r>
        <w:t xml:space="preserve"> trade partners.</w:t>
      </w:r>
      <w:r>
        <w:rPr>
          <w:color w:val="4B5563"/>
          <w:vertAlign w:val="superscript"/>
        </w:rPr>
        <w:t>1,3</w:t>
      </w:r>
    </w:p>
    <w:p>
      <w:r>
        <w:t xml:space="preserve">Some large trade partners rank lower on the index. </w:t>
      </w:r>
      <w:r>
        <w:t>China</w:t>
      </w:r>
      <w:r>
        <w:t xml:space="preserve"> is its </w:t>
      </w:r>
      <w:r>
        <w:t>1st</w:t>
      </w:r>
      <w:r>
        <w:t xml:space="preserve"> trade partner and </w:t>
      </w:r>
      <w:r>
        <w:t>Malaysia</w:t>
      </w:r>
      <w:r>
        <w:t xml:space="preserve"> its </w:t>
      </w:r>
      <w:r>
        <w:t>4th</w:t>
      </w:r>
      <w:r>
        <w:t xml:space="preserve">, but the index ranks them </w:t>
      </w:r>
      <w:r>
        <w:t>48th</w:t>
      </w:r>
      <w:r>
        <w:t xml:space="preserve"> and </w:t>
      </w:r>
      <w:r>
        <w:t>39th</w:t>
      </w:r>
      <w:r>
        <w:t xml:space="preserve">; each is </w:t>
      </w:r>
      <w:r>
        <w:t>a strong tie today that the index ranks lower</w:t>
      </w:r>
      <w:r>
        <w:t xml:space="preserve">. In votes at the United Nations, Japan and </w:t>
      </w:r>
      <w:r>
        <w:t>China</w:t>
      </w:r>
      <w:r>
        <w:t xml:space="preserve"> sit in </w:t>
      </w:r>
      <w:r>
        <w:t>opposite blocs</w:t>
      </w:r>
      <w:r>
        <w:t>.</w:t>
      </w:r>
      <w:r>
        <w:rPr>
          <w:color w:val="4B5563"/>
          <w:vertAlign w:val="superscript"/>
        </w:rPr>
        <w:t>1,3,12</w:t>
      </w:r>
    </w:p>
    <w:p>
      <w:r>
        <w:t xml:space="preserve">As a partner to the coalition, Japan ranks </w:t>
      </w:r>
      <w:r>
        <w:t>24th</w:t>
      </w:r>
      <w:r>
        <w:t xml:space="preserve"> of </w:t>
      </w:r>
      <w:r>
        <w:t>192</w:t>
      </w:r>
      <w:r>
        <w:t xml:space="preserve"> economies. In the allied network design, its largest designed shares of coalition production are </w:t>
      </w:r>
      <w:r>
        <w:t>20.5%</w:t>
      </w:r>
      <w:r>
        <w:t xml:space="preserve"> in </w:t>
      </w:r>
      <w:r>
        <w:t>midstream coal</w:t>
      </w:r>
      <w:r>
        <w:t xml:space="preserve"> and </w:t>
      </w:r>
      <w:r>
        <w:t>13.5%</w:t>
      </w:r>
      <w:r>
        <w:t xml:space="preserve"> in </w:t>
      </w:r>
      <w:r>
        <w:t>midstream nuclear</w:t>
      </w:r>
      <w:r>
        <w:t>.</w:t>
      </w:r>
      <w:r>
        <w:rPr>
          <w:color w:val="4B5563"/>
          <w:vertAlign w:val="superscript"/>
        </w:rPr>
        <w:t>1,8</w:t>
      </w:r>
    </w:p>
    <w:p>
      <w:pPr>
        <w:pStyle w:val="Heading1"/>
      </w:pPr>
      <w:r>
        <w:t>5. Data notes and caveats</w:t>
      </w:r>
    </w:p>
    <w:p>
      <w:r>
        <w:t>See the Country Insights page (</w:t>
      </w:r>
      <w:r>
        <w:t>12 October 2026</w:t>
      </w:r>
      <w:r>
        <w:t xml:space="preserve"> baseline) for each source.</w:t>
      </w:r>
    </w:p>
    <w:p>
      <w:pPr>
        <w:pStyle w:val="ListBullet"/>
      </w:pPr>
      <w:r>
        <w:t>Scores compare Japan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Some figures behind these scores are filled in where the source has no value: with zero where a source lists every holder, otherwise with the world average.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Factory projects are cross-border solar, wind, battery and electric-vehicle manufacturing projects only, announced projects included, which may never be built; domestic investment is not covered (Cleantech Manufacturing FDI Dataset, edition 2026.10.05, CC BY 4.0; counts by the authors, a joint venture counted under its listed parent).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Style w:val="ListNumber"/>
      </w:pPr>
      <w:r>
        <w:rPr>
          <w:sz w:val="17"/>
        </w:rPr>
        <w:t>Bandara, P. and the Net Zero Industrial Policy Lab. Cleantech Manufacturing FDI Dataset, edition 2026.10.05. Johns Hopkins University. https://cmfdi.netzeropolicylab.com (2026.10.05); attribution; https://cmfdi.netzeropolicylab.com/.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Japan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JPN</cp:keywords>
  <dc:description>paper baseline as of 12 October 2026; fact sheet sha256 67ed5f8c2c95c6ae6163c47452c8229c249a41abbf6695c951cd3beb5e6422dd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