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Korea: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South Korea</w:t>
            </w:r>
            <w:r>
              <w:t xml:space="preserve"> is most exposed in </w:t>
            </w:r>
            <w:r>
              <w:t>upstream gas</w:t>
            </w:r>
            <w:r>
              <w:t xml:space="preserve">, </w:t>
            </w:r>
            <w:r>
              <w:t>upstream oil</w:t>
            </w:r>
            <w:r>
              <w:t xml:space="preserve"> and </w:t>
            </w:r>
            <w:r>
              <w:t>upstream nuclear</w:t>
            </w:r>
            <w:r>
              <w:t xml:space="preserve">, where its Energy Security is higher than only </w:t>
            </w:r>
            <w:r>
              <w:t>0%</w:t>
            </w:r>
            <w:r>
              <w:t xml:space="preserve">, </w:t>
            </w:r>
            <w:r>
              <w:t>1%</w:t>
            </w:r>
            <w:r>
              <w:t xml:space="preserve"> and </w:t>
            </w:r>
            <w:r>
              <w:t>7%</w:t>
            </w:r>
            <w:r>
              <w:t xml:space="preserve"> of the other economies scored. In upstream oil and gas, production falls short of consumption and no reserves are recorded.</w:t>
            </w:r>
            <w:r>
              <w:rPr>
                <w:color w:val="4B5563"/>
                <w:vertAlign w:val="superscript"/>
              </w:rPr>
              <w:t>1</w:t>
            </w:r>
          </w:p>
          <w:p>
            <w:pPr>
              <w:pStyle w:val="ListBullet"/>
            </w:pPr>
            <w:r>
              <w:t xml:space="preserve">Its strongest openings are in </w:t>
            </w:r>
            <w:r>
              <w:t>downstream green hydrogen</w:t>
            </w:r>
            <w:r>
              <w:t xml:space="preserve">, </w:t>
            </w:r>
            <w:r>
              <w:t>downstream gas</w:t>
            </w:r>
            <w:r>
              <w:t xml:space="preserve"> and </w:t>
            </w:r>
            <w:r>
              <w:t>downstream nuclear</w:t>
            </w:r>
            <w:r>
              <w:t xml:space="preserve">, where its Economic Opportunity is higher than </w:t>
            </w:r>
            <w:r>
              <w:t>97%</w:t>
            </w:r>
            <w:r>
              <w:t xml:space="preserve">, </w:t>
            </w:r>
            <w:r>
              <w:t>96%</w:t>
            </w:r>
            <w:r>
              <w:t xml:space="preserve"> and </w:t>
            </w:r>
            <w:r>
              <w:t>94%</w:t>
            </w:r>
            <w:r>
              <w:t xml:space="preserve"> of the other economies scored. Use per person, production and investment lift them.</w:t>
            </w:r>
            <w:r>
              <w:rPr>
                <w:color w:val="4B5563"/>
                <w:vertAlign w:val="superscript"/>
              </w:rPr>
              <w:t>1</w:t>
            </w:r>
          </w:p>
          <w:p>
            <w:pPr>
              <w:pStyle w:val="ListBullet"/>
            </w:pPr>
            <w:r>
              <w:t xml:space="preserve">On the paper's weighting, the Strategic Index ranks </w:t>
            </w:r>
            <w:r>
              <w:t>downstream batteries</w:t>
            </w:r>
            <w:r>
              <w:t xml:space="preserve"> </w:t>
            </w:r>
            <w:r>
              <w:t>1st</w:t>
            </w:r>
            <w:r>
              <w:t xml:space="preserve"> and </w:t>
            </w:r>
            <w:r>
              <w:t>midstream batteries</w:t>
            </w:r>
            <w:r>
              <w:t xml:space="preserve"> </w:t>
            </w:r>
            <w:r>
              <w:t>2nd</w:t>
            </w:r>
            <w:r>
              <w:t xml:space="preserve"> among its own sectors. Yet </w:t>
            </w:r>
            <w:r>
              <w:t>5</w:t>
            </w:r>
            <w:r>
              <w:t xml:space="preserve"> sectors combine top priority with the least policy, including </w:t>
            </w:r>
            <w:r>
              <w:t>upstream nuclear</w:t>
            </w:r>
            <w:r>
              <w:t>.</w:t>
            </w:r>
            <w:r>
              <w:rPr>
                <w:color w:val="4B5563"/>
                <w:vertAlign w:val="superscript"/>
              </w:rPr>
              <w:t>1</w:t>
            </w:r>
          </w:p>
          <w:p>
            <w:pPr>
              <w:pStyle w:val="ListBullet"/>
            </w:pPr>
            <w:r>
              <w:t xml:space="preserve">The Partnership Strength Index rates the </w:t>
            </w:r>
            <w:r>
              <w:t>United States</w:t>
            </w:r>
            <w:r>
              <w:t xml:space="preserve"> highest for </w:t>
            </w:r>
            <w:r>
              <w:t>South Korea</w:t>
            </w:r>
            <w:r>
              <w:t xml:space="preserve">, as a </w:t>
            </w:r>
            <w:r>
              <w:t>reliable supplier</w:t>
            </w:r>
            <w:r>
              <w:t xml:space="preserve">. </w:t>
            </w:r>
            <w:r>
              <w:t>China</w:t>
            </w:r>
            <w:r>
              <w:t xml:space="preserve">, its </w:t>
            </w:r>
            <w:r>
              <w:t>1st</w:t>
            </w:r>
            <w:r>
              <w:t xml:space="preserve"> trade partner, ranks </w:t>
            </w:r>
            <w:r>
              <w:t>35th</w:t>
            </w:r>
            <w:r>
              <w:t xml:space="preserve"> on Partnership Strength.</w:t>
            </w:r>
            <w:r>
              <w:rPr>
                <w:color w:val="4B5563"/>
                <w:vertAlign w:val="superscript"/>
              </w:rPr>
              <w:t>1,2</w:t>
            </w:r>
          </w:p>
        </w:tc>
      </w:tr>
    </w:tbl>
    <w:p/>
    <w:p>
      <w:pPr>
        <w:pStyle w:val="Heading1"/>
      </w:pPr>
      <w:r>
        <w:t>1. Energy security risks and why</w:t>
      </w:r>
    </w:p>
    <w:p>
      <w:r>
        <w:t>6</w:t>
      </w:r>
      <w:r>
        <w:t xml:space="preserve"> of </w:t>
      </w:r>
      <w:r>
        <w:t>South Korea</w:t>
      </w:r>
      <w:r>
        <w:t xml:space="preserve">'s </w:t>
      </w:r>
      <w:r>
        <w:t>29</w:t>
      </w:r>
      <w:r>
        <w:t xml:space="preserve"> placed sectors, those whose scores can be compared with other economies, sit in the two low-energy-security corners. Energy Security measures how well a country can rely on what it needs in a sector. Measured against other economies, its lowest Energy Security is in </w:t>
      </w:r>
      <w:r>
        <w:t>upstream gas</w:t>
      </w:r>
      <w:r>
        <w:t xml:space="preserve"> (</w:t>
      </w:r>
      <w:r>
        <w:t>0.20</w:t>
      </w:r>
      <w:r>
        <w:t xml:space="preserve">), </w:t>
      </w:r>
      <w:r>
        <w:t>upstream oil</w:t>
      </w:r>
      <w:r>
        <w:t xml:space="preserve"> (</w:t>
      </w:r>
      <w:r>
        <w:t>0.35</w:t>
      </w:r>
      <w:r>
        <w:t xml:space="preserve">) and </w:t>
      </w:r>
      <w:r>
        <w:t>upstream nuclear</w:t>
      </w:r>
      <w:r>
        <w:t xml:space="preserve"> (</w:t>
      </w:r>
      <w:r>
        <w:t>0.16</w:t>
      </w:r>
      <w:r>
        <w:t xml:space="preserve">). These are higher than only </w:t>
      </w:r>
      <w:r>
        <w:t>0%</w:t>
      </w:r>
      <w:r>
        <w:t xml:space="preserve">, </w:t>
      </w:r>
      <w:r>
        <w:t>1%</w:t>
      </w:r>
      <w:r>
        <w:t xml:space="preserve"> and </w:t>
      </w:r>
      <w:r>
        <w:t>7%</w:t>
      </w:r>
      <w:r>
        <w:t xml:space="preserve"> of the other </w:t>
      </w:r>
      <w:r>
        <w:t>97</w:t>
      </w:r>
      <w:r>
        <w:t xml:space="preserve">, </w:t>
      </w:r>
      <w:r>
        <w:t>96</w:t>
      </w:r>
      <w:r>
        <w:t xml:space="preserve"> and </w:t>
      </w:r>
      <w:r>
        <w:t>174</w:t>
      </w:r>
      <w:r>
        <w:t xml:space="preserve"> economies scored. The upstream oil and gas sectors sit in the </w:t>
      </w:r>
      <w:r>
        <w:t>Secure</w:t>
      </w:r>
      <w:r>
        <w:t xml:space="preserve"> corner and </w:t>
      </w:r>
      <w:r>
        <w:t>upstream nuclear</w:t>
      </w:r>
      <w:r>
        <w:t xml:space="preserve"> in the </w:t>
      </w:r>
      <w:r>
        <w:t>Upgrade</w:t>
      </w:r>
      <w:r>
        <w:t xml:space="preserve"> corner. The paper's framework associates the Secure corner with securing supply through trusted partners and the Upgrade corner with building domestic capability.</w:t>
      </w:r>
      <w:r>
        <w:rPr>
          <w:color w:val="4B5563"/>
          <w:vertAlign w:val="superscript"/>
        </w:rPr>
        <w:t>1</w:t>
      </w:r>
    </w:p>
    <w:p>
      <w:r>
        <w:t xml:space="preserve">In </w:t>
      </w:r>
      <w:r>
        <w:t>upstream gas</w:t>
      </w:r>
      <w:r>
        <w:t xml:space="preserve"> and </w:t>
      </w:r>
      <w:r>
        <w:t>upstream oil</w:t>
      </w:r>
      <w:r>
        <w:t xml:space="preserve">, energy imports and reserves pull the scores down. Gas production minus consumption was </w:t>
      </w:r>
      <w:r>
        <w:t>-2.27 EJ</w:t>
      </w:r>
      <w:r>
        <w:t xml:space="preserve"> in </w:t>
      </w:r>
      <w:r>
        <w:t>2025</w:t>
      </w:r>
      <w:r>
        <w:t xml:space="preserve">, and for oil it was </w:t>
      </w:r>
      <w:r>
        <w:t>-5.42 EJ</w:t>
      </w:r>
      <w:r>
        <w:t xml:space="preserve">. Both take </w:t>
      </w:r>
      <w:r>
        <w:t>production from the U.S. Energy Information Administration's international statistics, as the Energy Institute does not report it separately</w:t>
      </w:r>
      <w:r>
        <w:t xml:space="preserve">. No proved gas or oil reserves are recorded, which the index counts as zero; reserves carry </w:t>
      </w:r>
      <w:r>
        <w:t>28.6%</w:t>
      </w:r>
      <w:r>
        <w:t xml:space="preserve"> of the weight of each score. For context, its largest suppliers of </w:t>
      </w:r>
      <w:r>
        <w:t>upstream gas</w:t>
      </w:r>
      <w:r>
        <w:t xml:space="preserve"> goods in </w:t>
      </w:r>
      <w:r>
        <w:t>2024</w:t>
      </w:r>
      <w:r>
        <w:t xml:space="preserve"> were the </w:t>
      </w:r>
      <w:r>
        <w:t>United States</w:t>
      </w:r>
      <w:r>
        <w:t xml:space="preserve"> (</w:t>
      </w:r>
      <w:r>
        <w:t>21.8%</w:t>
      </w:r>
      <w:r>
        <w:t xml:space="preserve"> of imports, which totalled </w:t>
      </w:r>
      <w:r>
        <w:t>USD 34.7 bn</w:t>
      </w:r>
      <w:r>
        <w:t xml:space="preserve">), </w:t>
      </w:r>
      <w:r>
        <w:t>Australia</w:t>
      </w:r>
      <w:r>
        <w:t xml:space="preserve"> (</w:t>
      </w:r>
      <w:r>
        <w:t>20.8%</w:t>
      </w:r>
      <w:r>
        <w:t xml:space="preserve">) and </w:t>
      </w:r>
      <w:r>
        <w:t>Qatar</w:t>
      </w:r>
      <w:r>
        <w:t xml:space="preserve"> (</w:t>
      </w:r>
      <w:r>
        <w:t>19.1%</w:t>
      </w:r>
      <w:r>
        <w:t>).</w:t>
      </w:r>
      <w:r>
        <w:rPr>
          <w:color w:val="4B5563"/>
          <w:vertAlign w:val="superscript"/>
        </w:rPr>
        <w:t>1,2,3,4</w:t>
      </w:r>
    </w:p>
    <w:p>
      <w:r>
        <w:t xml:space="preserve">Its high-priority sectors, those in the Upgrade corner ranked by the Strategic Index, are </w:t>
      </w:r>
      <w:r>
        <w:t>upstream nuclear and downstream oil</w:t>
      </w:r>
      <w:r>
        <w:t xml:space="preserve">. In </w:t>
      </w:r>
      <w:r>
        <w:t>upstream nuclear</w:t>
      </w:r>
      <w:r>
        <w:t xml:space="preserve">, the score is low mainly because of trade. On its trade deficit in these goods relative to gross domestic product, </w:t>
      </w:r>
      <w:r>
        <w:t>South Korea</w:t>
      </w:r>
      <w:r>
        <w:t xml:space="preserve"> scores higher than only </w:t>
      </w:r>
      <w:r>
        <w:t>6%</w:t>
      </w:r>
      <w:r>
        <w:t xml:space="preserve"> of the other economies. In </w:t>
      </w:r>
      <w:r>
        <w:t>downstream oil</w:t>
      </w:r>
      <w:r>
        <w:t xml:space="preserve">, consumption pulls the score down: on projected growth in use per person, </w:t>
      </w:r>
      <w:r>
        <w:t>South Korea</w:t>
      </w:r>
      <w:r>
        <w:t xml:space="preserve"> scores higher than only </w:t>
      </w:r>
      <w:r>
        <w:t>2%</w:t>
      </w:r>
      <w:r>
        <w:t xml:space="preserve"> of the other economies.</w:t>
      </w:r>
      <w:r>
        <w:rPr>
          <w:color w:val="4B5563"/>
          <w:vertAlign w:val="superscript"/>
        </w:rPr>
        <w:t>1</w:t>
      </w:r>
    </w:p>
    <w:p>
      <w:pPr>
        <w:pStyle w:val="Heading1"/>
      </w:pPr>
      <w:r>
        <w:t>2. Economic opportunities and why</w:t>
      </w:r>
    </w:p>
    <w:p>
      <w:r>
        <w:t>18</w:t>
      </w:r>
      <w:r>
        <w:t xml:space="preserve"> of the </w:t>
      </w:r>
      <w:r>
        <w:t>29</w:t>
      </w:r>
      <w:r>
        <w:t xml:space="preserve"> placed sectors sit in the two high-opportunity corners, where Economic Opportunity is above the sector's middle economy. Economic Opportunity measures how well placed a country is to create value in a sector. The highest Economic Opportunity scores are in </w:t>
      </w:r>
      <w:r>
        <w:t>downstream green hydrogen</w:t>
      </w:r>
      <w:r>
        <w:t xml:space="preserve">, </w:t>
      </w:r>
      <w:r>
        <w:t>downstream gas</w:t>
      </w:r>
      <w:r>
        <w:t xml:space="preserve"> and </w:t>
      </w:r>
      <w:r>
        <w:t>downstream nuclear</w:t>
      </w:r>
      <w:r>
        <w:t xml:space="preserve">, all in the </w:t>
      </w:r>
      <w:r>
        <w:t>Grow</w:t>
      </w:r>
      <w:r>
        <w:t xml:space="preserve"> corner. They are higher than </w:t>
      </w:r>
      <w:r>
        <w:t>97%</w:t>
      </w:r>
      <w:r>
        <w:t xml:space="preserve">, </w:t>
      </w:r>
      <w:r>
        <w:t>96%</w:t>
      </w:r>
      <w:r>
        <w:t xml:space="preserve"> and </w:t>
      </w:r>
      <w:r>
        <w:t>94%</w:t>
      </w:r>
      <w:r>
        <w:t xml:space="preserve"> of the other </w:t>
      </w:r>
      <w:r>
        <w:t>157</w:t>
      </w:r>
      <w:r>
        <w:t xml:space="preserve">, </w:t>
      </w:r>
      <w:r>
        <w:t>98</w:t>
      </w:r>
      <w:r>
        <w:t xml:space="preserve"> and </w:t>
      </w:r>
      <w:r>
        <w:t>66</w:t>
      </w:r>
      <w:r>
        <w:t xml:space="preserve"> economies scored. The paper's framework associates the Grow corner with export promotion.</w:t>
      </w:r>
      <w:r>
        <w:rPr>
          <w:color w:val="4B5563"/>
          <w:vertAlign w:val="superscript"/>
        </w:rPr>
        <w:t>1</w:t>
      </w:r>
    </w:p>
    <w:p>
      <w:r>
        <w:t xml:space="preserve">In </w:t>
      </w:r>
      <w:r>
        <w:t>downstream green hydrogen</w:t>
      </w:r>
      <w:r>
        <w:t xml:space="preserve"> and </w:t>
      </w:r>
      <w:r>
        <w:t>downstream gas</w:t>
      </w:r>
      <w:r>
        <w:t xml:space="preserve">, consumption pushes the score up: on use per person today </w:t>
      </w:r>
      <w:r>
        <w:t>South Korea</w:t>
      </w:r>
      <w:r>
        <w:t xml:space="preserve"> scores higher than </w:t>
      </w:r>
      <w:r>
        <w:t>99%</w:t>
      </w:r>
      <w:r>
        <w:t xml:space="preserve"> and </w:t>
      </w:r>
      <w:r>
        <w:t>99%</w:t>
      </w:r>
      <w:r>
        <w:t xml:space="preserve"> of the other economies. Production also adds to the score in </w:t>
      </w:r>
      <w:r>
        <w:t>downstream gas</w:t>
      </w:r>
      <w:r>
        <w:t xml:space="preserve"> and </w:t>
      </w:r>
      <w:r>
        <w:t>downstream nuclear</w:t>
      </w:r>
      <w:r>
        <w:t xml:space="preserve">, where generation was </w:t>
      </w:r>
      <w:r>
        <w:t>174 TWh</w:t>
      </w:r>
      <w:r>
        <w:t xml:space="preserve"> and </w:t>
      </w:r>
      <w:r>
        <w:t>185 TWh</w:t>
      </w:r>
      <w:r>
        <w:t xml:space="preserve"> in </w:t>
      </w:r>
      <w:r>
        <w:t>2025</w:t>
      </w:r>
      <w:r>
        <w:t xml:space="preserve">. In </w:t>
      </w:r>
      <w:r>
        <w:t>downstream nuclear</w:t>
      </w:r>
      <w:r>
        <w:t>, investment pushes the score up as well.</w:t>
      </w:r>
      <w:r>
        <w:rPr>
          <w:color w:val="4B5563"/>
          <w:vertAlign w:val="superscript"/>
        </w:rPr>
        <w:t>1,3</w:t>
      </w:r>
    </w:p>
    <w:p>
      <w:r>
        <w:t xml:space="preserve">Among midstream sectors, </w:t>
      </w:r>
      <w:r>
        <w:t>midstream electric vehicles</w:t>
      </w:r>
      <w:r>
        <w:t xml:space="preserve"> stands out, higher than </w:t>
      </w:r>
      <w:r>
        <w:t>93%</w:t>
      </w:r>
      <w:r>
        <w:t xml:space="preserve"> of the other economies scored. Investment and trade push it up: </w:t>
      </w:r>
      <w:r>
        <w:t>South Korea</w:t>
      </w:r>
      <w:r>
        <w:t xml:space="preserve"> reported exports of </w:t>
      </w:r>
      <w:r>
        <w:t>USD 41.1 bn</w:t>
      </w:r>
      <w:r>
        <w:t xml:space="preserve"> of these goods in </w:t>
      </w:r>
      <w:r>
        <w:t>2024</w:t>
      </w:r>
      <w:r>
        <w:t xml:space="preserve">, and its share of world exports was </w:t>
      </w:r>
      <w:r>
        <w:t>4.5%</w:t>
      </w:r>
      <w:r>
        <w:t xml:space="preserve"> in </w:t>
      </w:r>
      <w:r>
        <w:t>2023</w:t>
      </w:r>
      <w:r>
        <w:t xml:space="preserve">. For context, on the reconciled trade data, the </w:t>
      </w:r>
      <w:r>
        <w:t>United States</w:t>
      </w:r>
      <w:r>
        <w:t xml:space="preserve"> took </w:t>
      </w:r>
      <w:r>
        <w:t>38.6%</w:t>
      </w:r>
      <w:r>
        <w:t xml:space="preserve"> of its exports of these goods in </w:t>
      </w:r>
      <w:r>
        <w:t>2024</w:t>
      </w:r>
      <w:r>
        <w:t>.</w:t>
      </w:r>
      <w:r>
        <w:rPr>
          <w:color w:val="4B5563"/>
          <w:vertAlign w:val="superscript"/>
        </w:rPr>
        <w:t>1,2,5,6</w:t>
      </w:r>
    </w:p>
    <w:p>
      <w:pPr>
        <w:pStyle w:val="Heading1"/>
      </w:pPr>
      <w:r>
        <w:t>3. Sectoral priorities and the existing policy posture</w:t>
      </w:r>
    </w:p>
    <w:p>
      <w:r>
        <w:t xml:space="preserve">The Strategic Index ranks a country's own sectors by combining opportunity, security need, policy activity, the stage and the technology's low-emission value. On the paper's weighting, it puts </w:t>
      </w:r>
      <w:r>
        <w:t>downstream batteries</w:t>
      </w:r>
      <w:r>
        <w:t xml:space="preserve"> </w:t>
      </w:r>
      <w:r>
        <w:t>1st</w:t>
      </w:r>
      <w:r>
        <w:t xml:space="preserve"> (</w:t>
      </w:r>
      <w:r>
        <w:t>0.66</w:t>
      </w:r>
      <w:r>
        <w:t xml:space="preserve">), </w:t>
      </w:r>
      <w:r>
        <w:t>midstream batteries</w:t>
      </w:r>
      <w:r>
        <w:t xml:space="preserve"> </w:t>
      </w:r>
      <w:r>
        <w:t>2nd</w:t>
      </w:r>
      <w:r>
        <w:t xml:space="preserve"> and </w:t>
      </w:r>
      <w:r>
        <w:t>upstream solar</w:t>
      </w:r>
      <w:r>
        <w:t xml:space="preserve"> </w:t>
      </w:r>
      <w:r>
        <w:t>3rd</w:t>
      </w:r>
      <w:r>
        <w:t xml:space="preserve"> among </w:t>
      </w:r>
      <w:r>
        <w:t>South Korea</w:t>
      </w:r>
      <w:r>
        <w:t xml:space="preserve">'s own sectors, each </w:t>
      </w:r>
      <w:r>
        <w:t>0.020</w:t>
      </w:r>
      <w:r>
        <w:t xml:space="preserve">, </w:t>
      </w:r>
      <w:r>
        <w:t>0.020</w:t>
      </w:r>
      <w:r>
        <w:t xml:space="preserve"> and </w:t>
      </w:r>
      <w:r>
        <w:t>0.015</w:t>
      </w:r>
      <w:r>
        <w:t xml:space="preserve"> ahead of the next. Then come </w:t>
      </w:r>
      <w:r>
        <w:t>upstream batteries</w:t>
      </w:r>
      <w:r>
        <w:t xml:space="preserve"> (</w:t>
      </w:r>
      <w:r>
        <w:t>4th</w:t>
      </w:r>
      <w:r>
        <w:t xml:space="preserve">) and </w:t>
      </w:r>
      <w:r>
        <w:t>upstream green hydrogen</w:t>
      </w:r>
      <w:r>
        <w:t xml:space="preserve"> (</w:t>
      </w:r>
      <w:r>
        <w:t>5th</w:t>
      </w:r>
      <w:r>
        <w:t xml:space="preserve">), which are almost tied, </w:t>
      </w:r>
      <w:r>
        <w:t>0.002</w:t>
      </w:r>
      <w:r>
        <w:t xml:space="preserve"> apart.</w:t>
      </w:r>
      <w:r>
        <w:rPr>
          <w:color w:val="4B5563"/>
          <w:vertAlign w:val="superscript"/>
        </w:rPr>
        <w:t>1</w:t>
      </w:r>
    </w:p>
    <w:p>
      <w:r>
        <w:t xml:space="preserve">The allied pick, its leading upstream or midstream sector once sectors without a recorded resource base are set aside, is </w:t>
      </w:r>
      <w:r>
        <w:t>midstream batteries</w:t>
      </w:r>
      <w:r>
        <w:t xml:space="preserve">, </w:t>
      </w:r>
      <w:r>
        <w:t>0.035</w:t>
      </w:r>
      <w:r>
        <w:t xml:space="preserve"> ahead of </w:t>
      </w:r>
      <w:r>
        <w:t>upstream batteries</w:t>
      </w:r>
      <w:r>
        <w:t xml:space="preserve">. Ranked above the runner-up, </w:t>
      </w:r>
      <w:r>
        <w:t>upstream solar</w:t>
      </w:r>
      <w:r>
        <w:t xml:space="preserve"> is set aside: no resource base is recorded for it.</w:t>
      </w:r>
      <w:r>
        <w:rPr>
          <w:color w:val="4B5563"/>
          <w:vertAlign w:val="superscript"/>
        </w:rPr>
        <w:t>7</w:t>
      </w:r>
    </w:p>
    <w:p>
      <w:r>
        <w:t xml:space="preserve">Policy activity counts International Energy Agency Policies and Measures records and the Climate Action Tracker rating, read against each technology. Priority here means the Strategic Index without its policy term, unlike the Upgrade-corner sense above. The sector with top priority and the most policy is </w:t>
      </w:r>
      <w:r>
        <w:t>midstream batteries</w:t>
      </w:r>
      <w:r>
        <w:t xml:space="preserve">. By contrast, </w:t>
      </w:r>
      <w:r>
        <w:t>upstream nuclear, upstream wind, upstream green hydrogen, upstream electric grid and midstream electric grid</w:t>
      </w:r>
      <w:r>
        <w:t xml:space="preserve"> combine top priority with the least policy. </w:t>
      </w:r>
      <w:r>
        <w:t>South Korea</w:t>
      </w:r>
      <w:r>
        <w:t xml:space="preserve"> has </w:t>
      </w:r>
      <w:r>
        <w:t>0</w:t>
      </w:r>
      <w:r>
        <w:t xml:space="preserve"> records naming both the technology and the stage of </w:t>
      </w:r>
      <w:r>
        <w:t>upstream nuclear</w:t>
      </w:r>
      <w:r>
        <w:t xml:space="preserve">. The reverse holds for </w:t>
      </w:r>
      <w:r>
        <w:t>downstream gas, downstream oil, downstream green hydrogen, downstream electric vehicles and downstream coal</w:t>
      </w:r>
      <w:r>
        <w:t xml:space="preserve">, which combine bottom priority with the most policy. </w:t>
      </w:r>
      <w:r>
        <w:t>South Korea</w:t>
      </w:r>
      <w:r>
        <w:t xml:space="preserve">'s Climate Action Tracker rating is </w:t>
      </w:r>
      <w:r>
        <w:t>Highly insufficient</w:t>
      </w:r>
      <w:r>
        <w:t xml:space="preserve"> (</w:t>
      </w:r>
      <w:r>
        <w:t>July 2023</w:t>
      </w:r>
      <w:r>
        <w:t xml:space="preserve">), and it has </w:t>
      </w:r>
      <w:r>
        <w:t>247</w:t>
      </w:r>
      <w:r>
        <w:t xml:space="preserve"> Policies and Measures records. For context, Country Insights also lists industrial-policy measures from Global Trade Alert; policy activity does not count them.</w:t>
      </w:r>
      <w:r>
        <w:rPr>
          <w:color w:val="4B5563"/>
          <w:vertAlign w:val="superscript"/>
        </w:rPr>
        <w:t>1,8,9</w:t>
      </w:r>
    </w:p>
    <w:p>
      <w:pPr>
        <w:pStyle w:val="Heading1"/>
      </w:pPr>
      <w:r>
        <w:t>4. Partnership priorities and why</w:t>
      </w:r>
    </w:p>
    <w:p>
      <w:r>
        <w:t xml:space="preserve">The Partnership Strength Index rates partners as suppliers (Friendshore), as markets for exports (Partnership Opportunity) and, for middle- and lower-income partners, by Development Potential. From </w:t>
      </w:r>
      <w:r>
        <w:t>South Korea</w:t>
      </w:r>
      <w:r>
        <w:t xml:space="preserve">'s viewpoint it ranks the </w:t>
      </w:r>
      <w:r>
        <w:t>United States</w:t>
      </w:r>
      <w:r>
        <w:t xml:space="preserve"> </w:t>
      </w:r>
      <w:r>
        <w:t>1st</w:t>
      </w:r>
      <w:r>
        <w:t xml:space="preserve">, </w:t>
      </w:r>
      <w:r>
        <w:t>Australia</w:t>
      </w:r>
      <w:r>
        <w:t xml:space="preserve"> </w:t>
      </w:r>
      <w:r>
        <w:t>2nd</w:t>
      </w:r>
      <w:r>
        <w:t xml:space="preserve">, the </w:t>
      </w:r>
      <w:r>
        <w:t>United Kingdom</w:t>
      </w:r>
      <w:r>
        <w:t xml:space="preserve"> </w:t>
      </w:r>
      <w:r>
        <w:t>3rd</w:t>
      </w:r>
      <w:r>
        <w:t xml:space="preserve">, </w:t>
      </w:r>
      <w:r>
        <w:t>Canada</w:t>
      </w:r>
      <w:r>
        <w:t xml:space="preserve"> </w:t>
      </w:r>
      <w:r>
        <w:t>4th</w:t>
      </w:r>
      <w:r>
        <w:t xml:space="preserve"> and the </w:t>
      </w:r>
      <w:r>
        <w:t>Netherlands</w:t>
      </w:r>
      <w:r>
        <w:t xml:space="preserve"> </w:t>
      </w:r>
      <w:r>
        <w:t>5th</w:t>
      </w:r>
      <w:r>
        <w:t xml:space="preserve"> of </w:t>
      </w:r>
      <w:r>
        <w:t>193</w:t>
      </w:r>
      <w:r>
        <w:t xml:space="preserve"> partners. All but the </w:t>
      </w:r>
      <w:r>
        <w:t>United Kingdom</w:t>
      </w:r>
      <w:r>
        <w:t xml:space="preserve">, an </w:t>
      </w:r>
      <w:r>
        <w:t>export market</w:t>
      </w:r>
      <w:r>
        <w:t xml:space="preserve">, stand out most as a </w:t>
      </w:r>
      <w:r>
        <w:t>reliable supplier</w:t>
      </w:r>
      <w:r>
        <w:t xml:space="preserve">. As a supplier, the </w:t>
      </w:r>
      <w:r>
        <w:t>United States</w:t>
      </w:r>
      <w:r>
        <w:t xml:space="preserve"> scores best in </w:t>
      </w:r>
      <w:r>
        <w:t>upstream gas, upstream oil, midstream batteries, downstream geothermal and upstream nuclear</w:t>
      </w:r>
      <w:r>
        <w:t xml:space="preserve">. These include upstream oil, gas and nuclear, where </w:t>
      </w:r>
      <w:r>
        <w:t>South Korea</w:t>
      </w:r>
      <w:r>
        <w:t>'s Energy Security is low.</w:t>
      </w:r>
      <w:r>
        <w:rPr>
          <w:color w:val="4B5563"/>
          <w:vertAlign w:val="superscript"/>
        </w:rPr>
        <w:t>1</w:t>
      </w:r>
    </w:p>
    <w:p>
      <w:r>
        <w:t xml:space="preserve">Some of these priorities match today's ties. The </w:t>
      </w:r>
      <w:r>
        <w:t>United States</w:t>
      </w:r>
      <w:r>
        <w:t xml:space="preserve"> is </w:t>
      </w:r>
      <w:r>
        <w:t>South Korea</w:t>
      </w:r>
      <w:r>
        <w:t xml:space="preserve">'s </w:t>
      </w:r>
      <w:r>
        <w:t>2nd</w:t>
      </w:r>
      <w:r>
        <w:t xml:space="preserve"> trade partner on average across its energy-goods baskets, </w:t>
      </w:r>
      <w:r>
        <w:t>Australia</w:t>
      </w:r>
      <w:r>
        <w:t xml:space="preserve"> its </w:t>
      </w:r>
      <w:r>
        <w:t>4th</w:t>
      </w:r>
      <w:r>
        <w:t xml:space="preserve"> and </w:t>
      </w:r>
      <w:r>
        <w:t>Canada</w:t>
      </w:r>
      <w:r>
        <w:t xml:space="preserve"> its </w:t>
      </w:r>
      <w:r>
        <w:t>7th</w:t>
      </w:r>
      <w:r>
        <w:t xml:space="preserve">. The </w:t>
      </w:r>
      <w:r>
        <w:t>United States</w:t>
      </w:r>
      <w:r>
        <w:t xml:space="preserve"> and </w:t>
      </w:r>
      <w:r>
        <w:t>South Korea</w:t>
      </w:r>
      <w:r>
        <w:t xml:space="preserve"> both belong to </w:t>
      </w:r>
      <w:r>
        <w:t>the Indo-Pacific Economic Framework, the Minerals Security Partnership and a U.S. free-trade agreement</w:t>
      </w:r>
      <w:r>
        <w:t xml:space="preserve">. The </w:t>
      </w:r>
      <w:r>
        <w:t>United Kingdom</w:t>
      </w:r>
      <w:r>
        <w:t xml:space="preserve"> and the </w:t>
      </w:r>
      <w:r>
        <w:t>Netherlands</w:t>
      </w:r>
      <w:r>
        <w:t xml:space="preserve"> rank </w:t>
      </w:r>
      <w:r>
        <w:t>22nd</w:t>
      </w:r>
      <w:r>
        <w:t xml:space="preserve"> and </w:t>
      </w:r>
      <w:r>
        <w:t>20th</w:t>
      </w:r>
      <w:r>
        <w:t xml:space="preserve"> as trade partners today. Conversely, </w:t>
      </w:r>
      <w:r>
        <w:t>China</w:t>
      </w:r>
      <w:r>
        <w:t xml:space="preserve"> is its </w:t>
      </w:r>
      <w:r>
        <w:t>1st</w:t>
      </w:r>
      <w:r>
        <w:t xml:space="preserve"> trade partner, with </w:t>
      </w:r>
      <w:r>
        <w:t>28.3%</w:t>
      </w:r>
      <w:r>
        <w:t xml:space="preserve"> of its imports on average, but ranks </w:t>
      </w:r>
      <w:r>
        <w:t>35th</w:t>
      </w:r>
      <w:r>
        <w:t xml:space="preserve"> on Partnership Strength. UN votes put </w:t>
      </w:r>
      <w:r>
        <w:t>South Korea</w:t>
      </w:r>
      <w:r>
        <w:t xml:space="preserve"> and </w:t>
      </w:r>
      <w:r>
        <w:t>China</w:t>
      </w:r>
      <w:r>
        <w:t xml:space="preserve"> in </w:t>
      </w:r>
      <w:r>
        <w:t>opposite blocs</w:t>
      </w:r>
      <w:r>
        <w:t>.</w:t>
      </w:r>
      <w:r>
        <w:rPr>
          <w:color w:val="4B5563"/>
          <w:vertAlign w:val="superscript"/>
        </w:rPr>
        <w:t>1,2,10,11</w:t>
      </w:r>
    </w:p>
    <w:p>
      <w:r>
        <w:t xml:space="preserve">As a partner to the coalition, </w:t>
      </w:r>
      <w:r>
        <w:t>South Korea</w:t>
      </w:r>
      <w:r>
        <w:t xml:space="preserve"> ranks </w:t>
      </w:r>
      <w:r>
        <w:t>14th</w:t>
      </w:r>
      <w:r>
        <w:t xml:space="preserve"> of </w:t>
      </w:r>
      <w:r>
        <w:t>192</w:t>
      </w:r>
      <w:r>
        <w:t xml:space="preserve"> economies, on Partnership Strength averaged over the core members' viewpoints. In the allied network design, which spreads upstream and midstream production across coalition members, its largest designed share is </w:t>
      </w:r>
      <w:r>
        <w:t>18.6%</w:t>
      </w:r>
      <w:r>
        <w:t xml:space="preserve"> of </w:t>
      </w:r>
      <w:r>
        <w:t>midstream electric vehicles</w:t>
      </w:r>
      <w:r>
        <w:t xml:space="preserve">, followed by </w:t>
      </w:r>
      <w:r>
        <w:t>14.5%</w:t>
      </w:r>
      <w:r>
        <w:t xml:space="preserve"> of </w:t>
      </w:r>
      <w:r>
        <w:t>midstream oil</w:t>
      </w:r>
      <w:r>
        <w:t>.</w:t>
      </w:r>
      <w:r>
        <w:rPr>
          <w:color w:val="4B5563"/>
          <w:vertAlign w:val="superscript"/>
        </w:rPr>
        <w:t>1,7</w:t>
      </w:r>
    </w:p>
    <w:p>
      <w:pPr>
        <w:pStyle w:val="Heading1"/>
      </w:pPr>
      <w:r>
        <w:t>5. Data notes and caveats</w:t>
      </w:r>
    </w:p>
    <w:p>
      <w:r>
        <w:t xml:space="preserve">Baseline of </w:t>
      </w:r>
      <w:r>
        <w:t>12 October 2026</w:t>
      </w:r>
      <w:r>
        <w:t>; details in Country Insights.</w:t>
      </w:r>
    </w:p>
    <w:p>
      <w:pPr>
        <w:pStyle w:val="ListBullet"/>
      </w:pPr>
      <w:r>
        <w:t>Scores compare South Korea with other economies in the same sector; they are not measures of risk or profit in absolute terms.</w:t>
      </w:r>
    </w:p>
    <w:p>
      <w:pPr>
        <w:pStyle w:val="ListBullet"/>
      </w:pPr>
      <w:r>
        <w:t>All index values are the paper's baseline as of 12 October 2026; Strategic Insights recomputes them under other weightings.</w:t>
      </w:r>
    </w:p>
    <w:p>
      <w:pPr>
        <w:pStyle w:val="ListBullet"/>
      </w:pPr>
      <w:r>
        <w:t>Strategic Index scores within 0.01 of each other are almost tied: small changes in the data or the weights can swap their order.</w:t>
      </w:r>
    </w:p>
    <w:p>
      <w:pPr>
        <w:pStyle w:val="ListBullet"/>
      </w:pPr>
      <w:r>
        <w:t>Many allied picks are close calls: in the paper, 37% of them are within 0.01 of the runner-up.</w:t>
      </w:r>
    </w:p>
    <w:p>
      <w:pPr>
        <w:pStyle w:val="ListBullet"/>
      </w:pPr>
      <w:r>
        <w:t>Some figures behind these scores are filled in where the source has no value: with zero where a source lists every holder, otherwise with the world average.</w:t>
      </w:r>
    </w:p>
    <w:p>
      <w:pPr>
        <w:pStyle w:val="ListBullet"/>
      </w:pPr>
      <w:r>
        <w:t>Some of South Korea's sectors are not placed: a score is compared with other economies only when the economy is sovereign and at most half of the score rests on filled-in data.</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U.S. Energy Information Administration, International Energy Statistics, bulk file INTL.zip: crude oil incl. lease condensate, NGPL, dry natural gas and coal production; petroleum and other liquids, dry natural gas and coal consumption, bulk file dated 2026-10-03 (oil production to 2025; gas and coal to 2024); open; https://www.eia.gov/international/data/world.</w:t>
      </w:r>
    </w:p>
    <w:p>
      <w:pPr>
        <w:pStyle w:val="ListNumber"/>
      </w:pPr>
      <w:r>
        <w:rPr>
          <w:sz w:val="17"/>
        </w:rPr>
        <w:t>United Nations, UN Comtrade Database, exports to World by reporter, 2024 (2024 data); attribution; https://comtradeplus.un.org/.</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Allied network design (the paper's model design of coalition production shares).</w:t>
      </w:r>
    </w:p>
    <w:p>
      <w:pPr>
        <w:pStyle w:val="ListNumber"/>
      </w:pPr>
      <w:r>
        <w:rPr>
          <w:sz w:val="17"/>
        </w:rPr>
        <w:t>International Energy Agency, Policies and Measures Database (export of 2026-09-30); attribution; https://www.iea.org/policies.</w:t>
      </w:r>
    </w:p>
    <w:p>
      <w:pPr>
        <w:pStyle w:val="ListNumber"/>
      </w:pPr>
      <w:r>
        <w:rPr>
          <w:sz w:val="17"/>
        </w:rPr>
        <w:t>Climate Action Tracker, country ratings (ratings updated 2022-2025); attribution; https://climateactiontracker.org/.</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South Korea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Korea: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KOR</cp:keywords>
  <dc:description>paper baseline as of 12 October 2026; fact sheet sha256 00f46590a340724ccf81f0d25985e7788a186ae7aa5a081cb562c1bdc5600b6c</dc:description>
  <cp:lastModifiedBy/>
  <cp:revision>1</cp:revision>
  <dcterms:created xsi:type="dcterms:W3CDTF">2013-12-23T23:15:00Z</dcterms:created>
  <dcterms:modified xsi:type="dcterms:W3CDTF">2013-12-23T23:15:00Z</dcterms:modified>
  <cp:category/>
</cp:coreProperties>
</file>