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Luxembourg: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Luxembourg</w:t>
            </w:r>
            <w:r>
              <w:t xml:space="preserve"> is most exposed in </w:t>
            </w:r>
            <w:r>
              <w:t>upstream nuclear</w:t>
            </w:r>
            <w:r>
              <w:t xml:space="preserve">, </w:t>
            </w:r>
            <w:r>
              <w:t>upstream oil</w:t>
            </w:r>
            <w:r>
              <w:t xml:space="preserve"> and </w:t>
            </w:r>
            <w:r>
              <w:t>upstream batteries</w:t>
            </w:r>
            <w:r>
              <w:t xml:space="preserve">, where its Energy Security is higher than only </w:t>
            </w:r>
            <w:r>
              <w:t>8%</w:t>
            </w:r>
            <w:r>
              <w:t xml:space="preserve">, </w:t>
            </w:r>
            <w:r>
              <w:t>8%</w:t>
            </w:r>
            <w:r>
              <w:t xml:space="preserve"> and </w:t>
            </w:r>
            <w:r>
              <w:t>11%</w:t>
            </w:r>
            <w:r>
              <w:t xml:space="preserve"> of the other economies scored. In </w:t>
            </w:r>
            <w:r>
              <w:t>upstream oil</w:t>
            </w:r>
            <w:r>
              <w:t>, no recorded reserves and a trade deficit pull it down.</w:t>
            </w:r>
            <w:r>
              <w:rPr>
                <w:color w:val="4B5563"/>
                <w:vertAlign w:val="superscript"/>
              </w:rPr>
              <w:t>1</w:t>
            </w:r>
          </w:p>
          <w:p>
            <w:pPr>
              <w:pStyle w:val="ListBullet"/>
            </w:pPr>
            <w:r>
              <w:t xml:space="preserve">Its strongest openings are in </w:t>
            </w:r>
            <w:r>
              <w:t>downstream geothermal</w:t>
            </w:r>
            <w:r>
              <w:t xml:space="preserve">, </w:t>
            </w:r>
            <w:r>
              <w:t>downstream green hydrogen</w:t>
            </w:r>
            <w:r>
              <w:t xml:space="preserve"> and </w:t>
            </w:r>
            <w:r>
              <w:t>downstream batteries</w:t>
            </w:r>
            <w:r>
              <w:t xml:space="preserve">, where its Economic Opportunity is higher than </w:t>
            </w:r>
            <w:r>
              <w:t>93%</w:t>
            </w:r>
            <w:r>
              <w:t xml:space="preserve">, </w:t>
            </w:r>
            <w:r>
              <w:t>89%</w:t>
            </w:r>
            <w:r>
              <w:t xml:space="preserve"> and </w:t>
            </w:r>
            <w:r>
              <w:t>88%</w:t>
            </w:r>
            <w:r>
              <w:t xml:space="preserve"> of the other economies scored; consumption pushes them up.</w:t>
            </w:r>
            <w:r>
              <w:rPr>
                <w:color w:val="4B5563"/>
                <w:vertAlign w:val="superscript"/>
              </w:rPr>
              <w:t>1</w:t>
            </w:r>
          </w:p>
          <w:p>
            <w:pPr>
              <w:pStyle w:val="ListBullet"/>
            </w:pPr>
            <w:r>
              <w:t xml:space="preserve">On the paper's weighting, the Strategic Index puts </w:t>
            </w:r>
            <w:r>
              <w:t>downstream solar</w:t>
            </w:r>
            <w:r>
              <w:t xml:space="preserve"> </w:t>
            </w:r>
            <w:r>
              <w:t>1st</w:t>
            </w:r>
            <w:r>
              <w:t xml:space="preserve"> among </w:t>
            </w:r>
            <w:r>
              <w:t>Luxembourg</w:t>
            </w:r>
            <w:r>
              <w:t xml:space="preserve">'s own sectors, almost tied with </w:t>
            </w:r>
            <w:r>
              <w:t>upstream nuclear</w:t>
            </w:r>
            <w:r>
              <w:t xml:space="preserve">. Data-based priority and policy activity are both high in </w:t>
            </w:r>
            <w:r>
              <w:t>upstream batteries, midstream nuclear and midstream batteries</w:t>
            </w:r>
            <w:r>
              <w:t>.</w:t>
            </w:r>
            <w:r>
              <w:rPr>
                <w:color w:val="4B5563"/>
                <w:vertAlign w:val="superscript"/>
              </w:rPr>
              <w:t>1</w:t>
            </w:r>
          </w:p>
          <w:p>
            <w:pPr>
              <w:pStyle w:val="ListBullet"/>
            </w:pPr>
            <w:r>
              <w:t xml:space="preserve">The Partnership Strength Index rates the </w:t>
            </w:r>
            <w:r>
              <w:t>United States</w:t>
            </w:r>
            <w:r>
              <w:t xml:space="preserve"> highest for </w:t>
            </w:r>
            <w:r>
              <w:t>Luxembourg</w:t>
            </w:r>
            <w:r>
              <w:t xml:space="preserve">, as a </w:t>
            </w:r>
            <w:r>
              <w:t>reliable supplier</w:t>
            </w:r>
            <w:r>
              <w:t xml:space="preserve">. It is also </w:t>
            </w:r>
            <w:r>
              <w:t>Luxembourg</w:t>
            </w:r>
            <w:r>
              <w:t xml:space="preserve">'s </w:t>
            </w:r>
            <w:r>
              <w:t>8th</w:t>
            </w:r>
            <w:r>
              <w:t xml:space="preserve"> trade partner; </w:t>
            </w:r>
            <w:r>
              <w:t>Germany</w:t>
            </w:r>
            <w:r>
              <w:t xml:space="preserve">, its </w:t>
            </w:r>
            <w:r>
              <w:t>1st</w:t>
            </w:r>
            <w:r>
              <w:t xml:space="preserve">, ranks </w:t>
            </w:r>
            <w:r>
              <w:t>3rd</w:t>
            </w:r>
            <w:r>
              <w:t>.</w:t>
            </w:r>
            <w:r>
              <w:rPr>
                <w:color w:val="4B5563"/>
                <w:vertAlign w:val="superscript"/>
              </w:rPr>
              <w:t>1,2</w:t>
            </w:r>
          </w:p>
        </w:tc>
      </w:tr>
    </w:tbl>
    <w:p/>
    <w:p>
      <w:pPr>
        <w:pStyle w:val="Heading1"/>
      </w:pPr>
      <w:r>
        <w:t>1. Energy security risks and why</w:t>
      </w:r>
    </w:p>
    <w:p>
      <w:r>
        <w:t>19</w:t>
      </w:r>
      <w:r>
        <w:t xml:space="preserve"> of </w:t>
      </w:r>
      <w:r>
        <w:t>Luxembourg</w:t>
      </w:r>
      <w:r>
        <w:t xml:space="preserve">'s </w:t>
      </w:r>
      <w:r>
        <w:t>30</w:t>
      </w:r>
      <w:r>
        <w:t xml:space="preserve"> placed sectors sit in the two low-energy-security corners, where its Energy Security is below the middle economy's. Energy Security measures how reliably a country can meet its needs in a sector: production, reserves, imports, the concentration of world supply and prices.</w:t>
      </w:r>
      <w:r>
        <w:rPr>
          <w:color w:val="4B5563"/>
          <w:vertAlign w:val="superscript"/>
        </w:rPr>
        <w:t>1</w:t>
      </w:r>
    </w:p>
    <w:p>
      <w:r>
        <w:t xml:space="preserve">Compared with other economies, its Energy Security is lowest in </w:t>
      </w:r>
      <w:r>
        <w:t>upstream nuclear</w:t>
      </w:r>
      <w:r>
        <w:t xml:space="preserve">, </w:t>
      </w:r>
      <w:r>
        <w:t>upstream oil</w:t>
      </w:r>
      <w:r>
        <w:t xml:space="preserve">, </w:t>
      </w:r>
      <w:r>
        <w:t>upstream batteries</w:t>
      </w:r>
      <w:r>
        <w:t xml:space="preserve"> and </w:t>
      </w:r>
      <w:r>
        <w:t>downstream solar</w:t>
      </w:r>
      <w:r>
        <w:t xml:space="preserve">. In </w:t>
      </w:r>
      <w:r>
        <w:t>upstream nuclear</w:t>
      </w:r>
      <w:r>
        <w:t xml:space="preserve"> its score is </w:t>
      </w:r>
      <w:r>
        <w:t>0.16</w:t>
      </w:r>
      <w:r>
        <w:t xml:space="preserve">, higher than only </w:t>
      </w:r>
      <w:r>
        <w:t>8%</w:t>
      </w:r>
      <w:r>
        <w:t xml:space="preserve"> of the other </w:t>
      </w:r>
      <w:r>
        <w:t>174</w:t>
      </w:r>
      <w:r>
        <w:t xml:space="preserve"> economies scored. The scores are </w:t>
      </w:r>
      <w:r>
        <w:t>0.36</w:t>
      </w:r>
      <w:r>
        <w:t xml:space="preserve"> in </w:t>
      </w:r>
      <w:r>
        <w:t>upstream oil</w:t>
      </w:r>
      <w:r>
        <w:t xml:space="preserve"> (higher than </w:t>
      </w:r>
      <w:r>
        <w:t>8%</w:t>
      </w:r>
      <w:r>
        <w:t xml:space="preserve"> of </w:t>
      </w:r>
      <w:r>
        <w:t>96</w:t>
      </w:r>
      <w:r>
        <w:t xml:space="preserve">) and </w:t>
      </w:r>
      <w:r>
        <w:t>0.17</w:t>
      </w:r>
      <w:r>
        <w:t xml:space="preserve"> in </w:t>
      </w:r>
      <w:r>
        <w:t>upstream batteries</w:t>
      </w:r>
      <w:r>
        <w:t xml:space="preserve"> (higher than </w:t>
      </w:r>
      <w:r>
        <w:t>11%</w:t>
      </w:r>
      <w:r>
        <w:t xml:space="preserve"> of </w:t>
      </w:r>
      <w:r>
        <w:t>76</w:t>
      </w:r>
      <w:r>
        <w:t xml:space="preserve">). With Economic Opportunity also below the middle, these upstream sectors sit in the </w:t>
      </w:r>
      <w:r>
        <w:t>Secure</w:t>
      </w:r>
      <w:r>
        <w:t xml:space="preserve"> corner, which the paper's framework associates with securing supply through trusted partners. In </w:t>
      </w:r>
      <w:r>
        <w:t>downstream solar</w:t>
      </w:r>
      <w:r>
        <w:t xml:space="preserve">, its score of </w:t>
      </w:r>
      <w:r>
        <w:t>0.42</w:t>
      </w:r>
      <w:r>
        <w:t xml:space="preserve"> is higher than </w:t>
      </w:r>
      <w:r>
        <w:t>12%</w:t>
      </w:r>
      <w:r>
        <w:t xml:space="preserve"> of the other </w:t>
      </w:r>
      <w:r>
        <w:t>147</w:t>
      </w:r>
      <w:r>
        <w:t xml:space="preserve">, in the </w:t>
      </w:r>
      <w:r>
        <w:t>Upgrade</w:t>
      </w:r>
      <w:r>
        <w:t xml:space="preserve"> corner of low Energy Security and high Economic Opportunity.</w:t>
      </w:r>
      <w:r>
        <w:rPr>
          <w:color w:val="4B5563"/>
          <w:vertAlign w:val="superscript"/>
        </w:rPr>
        <w:t>1</w:t>
      </w:r>
    </w:p>
    <w:p>
      <w:r>
        <w:t xml:space="preserve">Country Insights takes the high-priority sectors from the Upgrade corner in Strategic Index order: </w:t>
      </w:r>
      <w:r>
        <w:t>downstream solar, midstream solar and midstream nuclear</w:t>
      </w:r>
      <w:r>
        <w:t xml:space="preserve">. In </w:t>
      </w:r>
      <w:r>
        <w:t>downstream solar</w:t>
      </w:r>
      <w:r>
        <w:t xml:space="preserve">, Energy Security is low mainly because of its solar resource and energy access. Its score on solar resource potential is </w:t>
      </w:r>
      <w:r>
        <w:t>0.15</w:t>
      </w:r>
      <w:r>
        <w:t xml:space="preserve"> against a median of </w:t>
      </w:r>
      <w:r>
        <w:t>0.54</w:t>
      </w:r>
      <w:r>
        <w:t xml:space="preserve">. Consumption per person in the sector rose by </w:t>
      </w:r>
      <w:r>
        <w:t>72.6%</w:t>
      </w:r>
      <w:r>
        <w:t xml:space="preserve"> in the years to </w:t>
      </w:r>
      <w:r>
        <w:t>2025</w:t>
      </w:r>
      <w:r>
        <w:t xml:space="preserve">, a measure on which it scores higher than only </w:t>
      </w:r>
      <w:r>
        <w:t>10%</w:t>
      </w:r>
      <w:r>
        <w:t xml:space="preserve"> of the other economies (higher means more secure).</w:t>
      </w:r>
      <w:r>
        <w:rPr>
          <w:color w:val="4B5563"/>
          <w:vertAlign w:val="superscript"/>
        </w:rPr>
        <w:t>1,3</w:t>
      </w:r>
    </w:p>
    <w:p>
      <w:r>
        <w:t xml:space="preserve">In </w:t>
      </w:r>
      <w:r>
        <w:t>upstream oil</w:t>
      </w:r>
      <w:r>
        <w:t xml:space="preserve">, the score is low mainly because of </w:t>
      </w:r>
      <w:r>
        <w:t>reserves</w:t>
      </w:r>
      <w:r>
        <w:t xml:space="preserve"> and </w:t>
      </w:r>
      <w:r>
        <w:t>trade</w:t>
      </w:r>
      <w:r>
        <w:t xml:space="preserve">. No proved oil reserves are recorded, which the index counts as zero, and its trade deficit in these goods was </w:t>
      </w:r>
      <w:r>
        <w:t>2.2% of GDP</w:t>
      </w:r>
      <w:r>
        <w:t xml:space="preserve"> in </w:t>
      </w:r>
      <w:r>
        <w:t>2023</w:t>
      </w:r>
      <w:r>
        <w:t xml:space="preserve">. For context, its largest suppliers in </w:t>
      </w:r>
      <w:r>
        <w:t>2024</w:t>
      </w:r>
      <w:r>
        <w:t xml:space="preserve"> were </w:t>
      </w:r>
      <w:r>
        <w:t>Belgium</w:t>
      </w:r>
      <w:r>
        <w:t xml:space="preserve"> (</w:t>
      </w:r>
      <w:r>
        <w:t>84.7%</w:t>
      </w:r>
      <w:r>
        <w:t xml:space="preserve"> of imports) and </w:t>
      </w:r>
      <w:r>
        <w:t>Germany</w:t>
      </w:r>
      <w:r>
        <w:t xml:space="preserve"> (</w:t>
      </w:r>
      <w:r>
        <w:t>9.9%</w:t>
      </w:r>
      <w:r>
        <w:t>).</w:t>
      </w:r>
      <w:r>
        <w:rPr>
          <w:color w:val="4B5563"/>
          <w:vertAlign w:val="superscript"/>
        </w:rPr>
        <w:t>2,4</w:t>
      </w:r>
    </w:p>
    <w:p>
      <w:pPr>
        <w:pStyle w:val="Heading1"/>
      </w:pPr>
      <w:r>
        <w:t>2. Economic opportunities and why</w:t>
      </w:r>
    </w:p>
    <w:p>
      <w:r>
        <w:t>18</w:t>
      </w:r>
      <w:r>
        <w:t xml:space="preserve"> of the </w:t>
      </w:r>
      <w:r>
        <w:t>30</w:t>
      </w:r>
      <w:r>
        <w:t xml:space="preserve"> placed sectors sit in the two high-opportunity corners. Economic Opportunity measures how well placed a country is to create value in a sector, from exports, related capabilities, investment, costs, demand and technology readiness.</w:t>
      </w:r>
      <w:r>
        <w:rPr>
          <w:color w:val="4B5563"/>
          <w:vertAlign w:val="superscript"/>
        </w:rPr>
        <w:t>1</w:t>
      </w:r>
    </w:p>
    <w:p>
      <w:r>
        <w:t xml:space="preserve">Its Economic Opportunity is highest in </w:t>
      </w:r>
      <w:r>
        <w:t>downstream geothermal</w:t>
      </w:r>
      <w:r>
        <w:t xml:space="preserve">, </w:t>
      </w:r>
      <w:r>
        <w:t>downstream green hydrogen</w:t>
      </w:r>
      <w:r>
        <w:t xml:space="preserve">, </w:t>
      </w:r>
      <w:r>
        <w:t>downstream batteries</w:t>
      </w:r>
      <w:r>
        <w:t xml:space="preserve"> and </w:t>
      </w:r>
      <w:r>
        <w:t>upstream green hydrogen</w:t>
      </w:r>
      <w:r>
        <w:t xml:space="preserve">, where it scores higher than </w:t>
      </w:r>
      <w:r>
        <w:t>93%</w:t>
      </w:r>
      <w:r>
        <w:t xml:space="preserve">, </w:t>
      </w:r>
      <w:r>
        <w:t>89%</w:t>
      </w:r>
      <w:r>
        <w:t xml:space="preserve">, </w:t>
      </w:r>
      <w:r>
        <w:t>88%</w:t>
      </w:r>
      <w:r>
        <w:t xml:space="preserve"> and </w:t>
      </w:r>
      <w:r>
        <w:t>84%</w:t>
      </w:r>
      <w:r>
        <w:t xml:space="preserve"> of the other economies scored, respectively. In </w:t>
      </w:r>
      <w:r>
        <w:t>downstream geothermal</w:t>
      </w:r>
      <w:r>
        <w:t xml:space="preserve"> and </w:t>
      </w:r>
      <w:r>
        <w:t>upstream green hydrogen</w:t>
      </w:r>
      <w:r>
        <w:t xml:space="preserve">, Energy Security is below the middle, so both sit in the </w:t>
      </w:r>
      <w:r>
        <w:t>Upgrade</w:t>
      </w:r>
      <w:r>
        <w:t xml:space="preserve"> corner.</w:t>
      </w:r>
      <w:r>
        <w:rPr>
          <w:color w:val="4B5563"/>
          <w:vertAlign w:val="superscript"/>
        </w:rPr>
        <w:t>1</w:t>
      </w:r>
    </w:p>
    <w:p>
      <w:r>
        <w:t xml:space="preserve">Cost competitiveness pushes the score up in </w:t>
      </w:r>
      <w:r>
        <w:t>downstream geothermal</w:t>
      </w:r>
      <w:r>
        <w:t xml:space="preserve">, </w:t>
      </w:r>
      <w:r>
        <w:t>downstream batteries</w:t>
      </w:r>
      <w:r>
        <w:t xml:space="preserve"> and </w:t>
      </w:r>
      <w:r>
        <w:t>upstream green hydrogen</w:t>
      </w:r>
      <w:r>
        <w:t xml:space="preserve">. On input costs for labour and capital, </w:t>
      </w:r>
      <w:r>
        <w:t>Luxembourg</w:t>
      </w:r>
      <w:r>
        <w:t xml:space="preserve"> scores higher than </w:t>
      </w:r>
      <w:r>
        <w:t>86%</w:t>
      </w:r>
      <w:r>
        <w:t xml:space="preserve">, </w:t>
      </w:r>
      <w:r>
        <w:t>89%</w:t>
      </w:r>
      <w:r>
        <w:t xml:space="preserve"> and </w:t>
      </w:r>
      <w:r>
        <w:t>87%</w:t>
      </w:r>
      <w:r>
        <w:t xml:space="preserve"> of the other economies there (higher means more opportunity). In </w:t>
      </w:r>
      <w:r>
        <w:t>downstream green hydrogen</w:t>
      </w:r>
      <w:r>
        <w:t xml:space="preserve">, consumption pushes it up: on expected growth in use per person it scores higher than </w:t>
      </w:r>
      <w:r>
        <w:t>81%</w:t>
      </w:r>
      <w:r>
        <w:t xml:space="preserve"> of the other economies. Part of the score in </w:t>
      </w:r>
      <w:r>
        <w:t>downstream geothermal</w:t>
      </w:r>
      <w:r>
        <w:t xml:space="preserve"> rests on filled-in data: </w:t>
      </w:r>
      <w:r>
        <w:t>46.7%</w:t>
      </w:r>
      <w:r>
        <w:t xml:space="preserve"> of its weight.</w:t>
      </w:r>
      <w:r>
        <w:rPr>
          <w:color w:val="4B5563"/>
          <w:vertAlign w:val="superscript"/>
        </w:rPr>
        <w:t>1</w:t>
      </w:r>
    </w:p>
    <w:p>
      <w:r>
        <w:t xml:space="preserve">In </w:t>
      </w:r>
      <w:r>
        <w:t>midstream oil</w:t>
      </w:r>
      <w:r>
        <w:t xml:space="preserve">, its </w:t>
      </w:r>
      <w:r>
        <w:t>5th highest</w:t>
      </w:r>
      <w:r>
        <w:t xml:space="preserve"> sector on Economic Opportunity relative to other economies, trade pushes the score up. On export feasibility, which measures how close these goods are to what it already exports well, it scores higher than </w:t>
      </w:r>
      <w:r>
        <w:t>76%</w:t>
      </w:r>
      <w:r>
        <w:t xml:space="preserve"> of the other economies. For context, its largest markets in </w:t>
      </w:r>
      <w:r>
        <w:t>2024</w:t>
      </w:r>
      <w:r>
        <w:t xml:space="preserve"> were </w:t>
      </w:r>
      <w:r>
        <w:t>Suriname</w:t>
      </w:r>
      <w:r>
        <w:t xml:space="preserve"> (</w:t>
      </w:r>
      <w:r>
        <w:t>30.7%</w:t>
      </w:r>
      <w:r>
        <w:t xml:space="preserve">) and </w:t>
      </w:r>
      <w:r>
        <w:t>Guyana</w:t>
      </w:r>
      <w:r>
        <w:t xml:space="preserve"> (</w:t>
      </w:r>
      <w:r>
        <w:t>24.7%</w:t>
      </w:r>
      <w:r>
        <w:t>).</w:t>
      </w:r>
      <w:r>
        <w:rPr>
          <w:color w:val="4B5563"/>
          <w:vertAlign w:val="superscript"/>
        </w:rPr>
        <w:t>1,2</w:t>
      </w:r>
    </w:p>
    <w:p>
      <w:pPr>
        <w:pStyle w:val="Heading1"/>
      </w:pPr>
      <w:r>
        <w:t>3. Sectoral priorities and the existing policy posture</w:t>
      </w:r>
    </w:p>
    <w:p>
      <w:r>
        <w:t xml:space="preserve">The Strategic Index ranks a country's own sectors by opportunity, the shortfall in Energy Security, policy activity, stage and low-emission value. On the paper's weighting, it ranks </w:t>
      </w:r>
      <w:r>
        <w:t>downstream solar</w:t>
      </w:r>
      <w:r>
        <w:t xml:space="preserve"> </w:t>
      </w:r>
      <w:r>
        <w:t>1st</w:t>
      </w:r>
      <w:r>
        <w:t xml:space="preserve"> (</w:t>
      </w:r>
      <w:r>
        <w:t>0.67</w:t>
      </w:r>
      <w:r>
        <w:t xml:space="preserve">), </w:t>
      </w:r>
      <w:r>
        <w:t>upstream nuclear</w:t>
      </w:r>
      <w:r>
        <w:t xml:space="preserve"> </w:t>
      </w:r>
      <w:r>
        <w:t>2nd</w:t>
      </w:r>
      <w:r>
        <w:t xml:space="preserve"> (</w:t>
      </w:r>
      <w:r>
        <w:t>0.66</w:t>
      </w:r>
      <w:r>
        <w:t xml:space="preserve">), </w:t>
      </w:r>
      <w:r>
        <w:t>upstream batteries</w:t>
      </w:r>
      <w:r>
        <w:t xml:space="preserve"> </w:t>
      </w:r>
      <w:r>
        <w:t>3rd</w:t>
      </w:r>
      <w:r>
        <w:t xml:space="preserve">, </w:t>
      </w:r>
      <w:r>
        <w:t>upstream wind</w:t>
      </w:r>
      <w:r>
        <w:t xml:space="preserve"> </w:t>
      </w:r>
      <w:r>
        <w:t>4th</w:t>
      </w:r>
      <w:r>
        <w:t xml:space="preserve"> and </w:t>
      </w:r>
      <w:r>
        <w:t>midstream batteries</w:t>
      </w:r>
      <w:r>
        <w:t xml:space="preserve"> </w:t>
      </w:r>
      <w:r>
        <w:t>5th</w:t>
      </w:r>
      <w:r>
        <w:t xml:space="preserve"> among </w:t>
      </w:r>
      <w:r>
        <w:t>Luxembourg</w:t>
      </w:r>
      <w:r>
        <w:t xml:space="preserve">'s own sectors. The scores of </w:t>
      </w:r>
      <w:r>
        <w:t>downstream solar</w:t>
      </w:r>
      <w:r>
        <w:t xml:space="preserve"> and </w:t>
      </w:r>
      <w:r>
        <w:t>upstream nuclear</w:t>
      </w:r>
      <w:r>
        <w:t xml:space="preserve"> are almost tied, </w:t>
      </w:r>
      <w:r>
        <w:t>0.005</w:t>
      </w:r>
      <w:r>
        <w:t xml:space="preserve"> apart, as are those of </w:t>
      </w:r>
      <w:r>
        <w:t>upstream nuclear</w:t>
      </w:r>
      <w:r>
        <w:t xml:space="preserve"> and </w:t>
      </w:r>
      <w:r>
        <w:t>upstream batteries</w:t>
      </w:r>
      <w:r>
        <w:t xml:space="preserve"> (just under </w:t>
      </w:r>
      <w:r>
        <w:t>0.010</w:t>
      </w:r>
      <w:r>
        <w:t xml:space="preserve">) and of </w:t>
      </w:r>
      <w:r>
        <w:t>upstream wind</w:t>
      </w:r>
      <w:r>
        <w:t xml:space="preserve"> and </w:t>
      </w:r>
      <w:r>
        <w:t>midstream batteries</w:t>
      </w:r>
      <w:r>
        <w:t xml:space="preserve"> (</w:t>
      </w:r>
      <w:r>
        <w:t>0.003</w:t>
      </w:r>
      <w:r>
        <w:t>).</w:t>
      </w:r>
      <w:r>
        <w:rPr>
          <w:color w:val="4B5563"/>
          <w:vertAlign w:val="superscript"/>
        </w:rPr>
        <w:t>1</w:t>
      </w:r>
    </w:p>
    <w:p>
      <w:r>
        <w:t xml:space="preserve">The lead of </w:t>
      </w:r>
      <w:r>
        <w:t>downstream solar</w:t>
      </w:r>
      <w:r>
        <w:t xml:space="preserve"> rests on policy activity: its policy term adds </w:t>
      </w:r>
      <w:r>
        <w:t>0.200</w:t>
      </w:r>
      <w:r>
        <w:t xml:space="preserve">, against </w:t>
      </w:r>
      <w:r>
        <w:t>0.105</w:t>
      </w:r>
      <w:r>
        <w:t xml:space="preserve"> for </w:t>
      </w:r>
      <w:r>
        <w:t>upstream nuclear</w:t>
      </w:r>
      <w:r>
        <w:t xml:space="preserve">. Without that term, </w:t>
      </w:r>
      <w:r>
        <w:t>downstream solar</w:t>
      </w:r>
      <w:r>
        <w:t xml:space="preserve"> falls in the </w:t>
      </w:r>
      <w:r>
        <w:t>middle third</w:t>
      </w:r>
      <w:r>
        <w:t xml:space="preserve"> of its sectors, while </w:t>
      </w:r>
      <w:r>
        <w:t>upstream nuclear</w:t>
      </w:r>
      <w:r>
        <w:t xml:space="preserve">, </w:t>
      </w:r>
      <w:r>
        <w:t>upstream batteries</w:t>
      </w:r>
      <w:r>
        <w:t xml:space="preserve"> and </w:t>
      </w:r>
      <w:r>
        <w:t>upstream wind</w:t>
      </w:r>
      <w:r>
        <w:t xml:space="preserve"> are in the </w:t>
      </w:r>
      <w:r>
        <w:t>top third</w:t>
      </w:r>
      <w:r>
        <w:t>.</w:t>
      </w:r>
      <w:r>
        <w:rPr>
          <w:color w:val="4B5563"/>
          <w:vertAlign w:val="superscript"/>
        </w:rPr>
        <w:t>1</w:t>
      </w:r>
    </w:p>
    <w:p>
      <w:r>
        <w:t xml:space="preserve">In the allied network design, </w:t>
      </w:r>
      <w:r>
        <w:t>Luxembourg</w:t>
      </w:r>
      <w:r>
        <w:t xml:space="preserve">'s pick is </w:t>
      </w:r>
      <w:r>
        <w:t>midstream batteries</w:t>
      </w:r>
      <w:r>
        <w:t xml:space="preserve">, almost tied with </w:t>
      </w:r>
      <w:r>
        <w:t>midstream solar</w:t>
      </w:r>
      <w:r>
        <w:t xml:space="preserve"> (</w:t>
      </w:r>
      <w:r>
        <w:t>0.001</w:t>
      </w:r>
      <w:r>
        <w:t xml:space="preserve"> ahead). Higher-ranked upstream sectors are screened out because no resource base is recorded for them.</w:t>
      </w:r>
      <w:r>
        <w:rPr>
          <w:color w:val="4B5563"/>
          <w:vertAlign w:val="superscript"/>
        </w:rPr>
        <w:t>5</w:t>
      </w:r>
    </w:p>
    <w:p>
      <w:r>
        <w:t xml:space="preserve">Country Insights splits data-based priority (the Strategic Index without its policy term) and policy activity into thirds; both are high in </w:t>
      </w:r>
      <w:r>
        <w:t>upstream batteries, midstream nuclear and midstream batteries</w:t>
      </w:r>
      <w:r>
        <w:t xml:space="preserve">. No sector pairs high data-based priority with the least policy, or low priority with the most. </w:t>
      </w:r>
      <w:r>
        <w:t>Luxembourg</w:t>
      </w:r>
      <w:r>
        <w:t xml:space="preserve"> carries the EU's Climate Action Tracker rating, </w:t>
      </w:r>
      <w:r>
        <w:t>Insufficient</w:t>
      </w:r>
      <w:r>
        <w:t xml:space="preserve"> (</w:t>
      </w:r>
      <w:r>
        <w:t>November 2024</w:t>
      </w:r>
      <w:r>
        <w:t xml:space="preserve">), and has </w:t>
      </w:r>
      <w:r>
        <w:t>130</w:t>
      </w:r>
      <w:r>
        <w:t xml:space="preserve"> International Energy Agency policy records, </w:t>
      </w:r>
      <w:r>
        <w:t>61</w:t>
      </w:r>
      <w:r>
        <w:t xml:space="preserve"> of which name a technology. Country Insights also lists Global Trade Alert's industrial-policy measures recorded under </w:t>
      </w:r>
      <w:r>
        <w:t>Luxembourg</w:t>
      </w:r>
      <w:r>
        <w:t>, including EU-wide ones, as context; the policy term does not count them.</w:t>
      </w:r>
      <w:r>
        <w:rPr>
          <w:color w:val="4B5563"/>
          <w:vertAlign w:val="superscript"/>
        </w:rPr>
        <w:t>1,6,7</w:t>
      </w:r>
    </w:p>
    <w:p>
      <w:pPr>
        <w:pStyle w:val="Heading1"/>
      </w:pPr>
      <w:r>
        <w:t>4. Partnership priorities and why</w:t>
      </w:r>
    </w:p>
    <w:p>
      <w:r>
        <w:t xml:space="preserve">The Partnership Strength Index rates partners for </w:t>
      </w:r>
      <w:r>
        <w:t>Luxembourg</w:t>
      </w:r>
      <w:r>
        <w:t xml:space="preserve"> as reliable suppliers (Friendshore), as export markets (Partnership Opportunity) and, for middle- and lower-income partners, by Development Potential.</w:t>
      </w:r>
    </w:p>
    <w:p>
      <w:r>
        <w:t xml:space="preserve">It rates the </w:t>
      </w:r>
      <w:r>
        <w:t>United States</w:t>
      </w:r>
      <w:r>
        <w:t xml:space="preserve"> highest for </w:t>
      </w:r>
      <w:r>
        <w:t>Luxembourg</w:t>
      </w:r>
      <w:r>
        <w:t xml:space="preserve">, standing out most as a </w:t>
      </w:r>
      <w:r>
        <w:t>reliable supplier</w:t>
      </w:r>
      <w:r>
        <w:t xml:space="preserve">; its best five supplier sectors are </w:t>
      </w:r>
      <w:r>
        <w:t>upstream wind, downstream geothermal, upstream gas, upstream oil and downstream gas</w:t>
      </w:r>
      <w:r>
        <w:t xml:space="preserve">. It ranks </w:t>
      </w:r>
      <w:r>
        <w:t>Belgium</w:t>
      </w:r>
      <w:r>
        <w:t xml:space="preserve"> </w:t>
      </w:r>
      <w:r>
        <w:t>2nd</w:t>
      </w:r>
      <w:r>
        <w:t xml:space="preserve">, </w:t>
      </w:r>
      <w:r>
        <w:t>Germany</w:t>
      </w:r>
      <w:r>
        <w:t xml:space="preserve"> </w:t>
      </w:r>
      <w:r>
        <w:t>3rd</w:t>
      </w:r>
      <w:r>
        <w:t xml:space="preserve">, the </w:t>
      </w:r>
      <w:r>
        <w:t>Netherlands</w:t>
      </w:r>
      <w:r>
        <w:t xml:space="preserve"> </w:t>
      </w:r>
      <w:r>
        <w:t>4th</w:t>
      </w:r>
      <w:r>
        <w:t xml:space="preserve"> and </w:t>
      </w:r>
      <w:r>
        <w:t>Italy</w:t>
      </w:r>
      <w:r>
        <w:t xml:space="preserve"> </w:t>
      </w:r>
      <w:r>
        <w:t>5th</w:t>
      </w:r>
      <w:r>
        <w:t xml:space="preserve">. </w:t>
      </w:r>
      <w:r>
        <w:t>Germany</w:t>
      </w:r>
      <w:r>
        <w:t xml:space="preserve"> stands out as a </w:t>
      </w:r>
      <w:r>
        <w:t>reliable supplier</w:t>
      </w:r>
      <w:r>
        <w:t xml:space="preserve">, </w:t>
      </w:r>
      <w:r>
        <w:t>Belgium</w:t>
      </w:r>
      <w:r>
        <w:t xml:space="preserve"> as an </w:t>
      </w:r>
      <w:r>
        <w:t>export market</w:t>
      </w:r>
      <w:r>
        <w:t xml:space="preserve">, the </w:t>
      </w:r>
      <w:r>
        <w:t>Netherlands</w:t>
      </w:r>
      <w:r>
        <w:t xml:space="preserve"> as an </w:t>
      </w:r>
      <w:r>
        <w:t>export market</w:t>
      </w:r>
      <w:r>
        <w:t xml:space="preserve"> and </w:t>
      </w:r>
      <w:r>
        <w:t>Italy</w:t>
      </w:r>
      <w:r>
        <w:t xml:space="preserve"> as an </w:t>
      </w:r>
      <w:r>
        <w:t>export market</w:t>
      </w:r>
      <w:r>
        <w:t>.</w:t>
      </w:r>
      <w:r>
        <w:rPr>
          <w:color w:val="4B5563"/>
          <w:vertAlign w:val="superscript"/>
        </w:rPr>
        <w:t>1</w:t>
      </w:r>
    </w:p>
    <w:p>
      <w:r>
        <w:t xml:space="preserve">Each of these partners is </w:t>
      </w:r>
      <w:r>
        <w:t>a priority partner with strong ties today</w:t>
      </w:r>
      <w:r>
        <w:t xml:space="preserve">. </w:t>
      </w:r>
      <w:r>
        <w:t>Germany</w:t>
      </w:r>
      <w:r>
        <w:t xml:space="preserve"> is </w:t>
      </w:r>
      <w:r>
        <w:t>Luxembourg</w:t>
      </w:r>
      <w:r>
        <w:t xml:space="preserve">'s </w:t>
      </w:r>
      <w:r>
        <w:t>1st</w:t>
      </w:r>
      <w:r>
        <w:t xml:space="preserve"> trade partner on average across its energy-goods baskets, </w:t>
      </w:r>
      <w:r>
        <w:t>Belgium</w:t>
      </w:r>
      <w:r>
        <w:t xml:space="preserve"> its </w:t>
      </w:r>
      <w:r>
        <w:t>2nd</w:t>
      </w:r>
      <w:r>
        <w:t xml:space="preserve">, the </w:t>
      </w:r>
      <w:r>
        <w:t>Netherlands</w:t>
      </w:r>
      <w:r>
        <w:t xml:space="preserve"> its </w:t>
      </w:r>
      <w:r>
        <w:t>4th</w:t>
      </w:r>
      <w:r>
        <w:t xml:space="preserve">, </w:t>
      </w:r>
      <w:r>
        <w:t>Italy</w:t>
      </w:r>
      <w:r>
        <w:t xml:space="preserve"> its </w:t>
      </w:r>
      <w:r>
        <w:t>5th</w:t>
      </w:r>
      <w:r>
        <w:t xml:space="preserve"> and the </w:t>
      </w:r>
      <w:r>
        <w:t>United States</w:t>
      </w:r>
      <w:r>
        <w:t xml:space="preserve"> its </w:t>
      </w:r>
      <w:r>
        <w:t>8th</w:t>
      </w:r>
      <w:r>
        <w:t xml:space="preserve">. Each shares membership of </w:t>
      </w:r>
      <w:r>
        <w:t>NATO</w:t>
      </w:r>
      <w:r>
        <w:t xml:space="preserve"> with </w:t>
      </w:r>
      <w:r>
        <w:t>Luxembourg</w:t>
      </w:r>
      <w:r>
        <w:t xml:space="preserve"> and sits in the </w:t>
      </w:r>
      <w:r>
        <w:t>same bloc</w:t>
      </w:r>
      <w:r>
        <w:t xml:space="preserve"> in UN votes. By contrast, </w:t>
      </w:r>
      <w:r>
        <w:t>China</w:t>
      </w:r>
      <w:r>
        <w:t xml:space="preserve"> is </w:t>
      </w:r>
      <w:r>
        <w:t>a strong tie today that the index ranks lower</w:t>
      </w:r>
      <w:r>
        <w:t xml:space="preserve">: its </w:t>
      </w:r>
      <w:r>
        <w:t>9th</w:t>
      </w:r>
      <w:r>
        <w:t xml:space="preserve"> trade partner, ranked </w:t>
      </w:r>
      <w:r>
        <w:t>46th</w:t>
      </w:r>
      <w:r>
        <w:t xml:space="preserve"> by Partnership Strength. In UN votes, the pair falls in </w:t>
      </w:r>
      <w:r>
        <w:t>opposite blocs</w:t>
      </w:r>
      <w:r>
        <w:t>.</w:t>
      </w:r>
      <w:r>
        <w:rPr>
          <w:color w:val="4B5563"/>
          <w:vertAlign w:val="superscript"/>
        </w:rPr>
        <w:t>1,2,8,9</w:t>
      </w:r>
    </w:p>
    <w:p>
      <w:r>
        <w:t xml:space="preserve">As a partner to the coalition, </w:t>
      </w:r>
      <w:r>
        <w:t>Luxembourg</w:t>
      </w:r>
      <w:r>
        <w:t xml:space="preserve"> ranks </w:t>
      </w:r>
      <w:r>
        <w:t>27th</w:t>
      </w:r>
      <w:r>
        <w:t xml:space="preserve"> of </w:t>
      </w:r>
      <w:r>
        <w:t>192</w:t>
      </w:r>
      <w:r>
        <w:t xml:space="preserve"> economies. In the allied network design, its derived shares include </w:t>
      </w:r>
      <w:r>
        <w:t>0.1%</w:t>
      </w:r>
      <w:r>
        <w:t xml:space="preserve"> of designed production in </w:t>
      </w:r>
      <w:r>
        <w:t>midstream batteries</w:t>
      </w:r>
      <w:r>
        <w:t xml:space="preserve"> and </w:t>
      </w:r>
      <w:r>
        <w:t>0.1%</w:t>
      </w:r>
      <w:r>
        <w:t xml:space="preserve"> in </w:t>
      </w:r>
      <w:r>
        <w:t>midstream green hydrogen</w:t>
      </w:r>
      <w:r>
        <w:t>.</w:t>
      </w:r>
      <w:r>
        <w:rPr>
          <w:color w:val="4B5563"/>
          <w:vertAlign w:val="superscript"/>
        </w:rPr>
        <w:t>1,5</w:t>
      </w:r>
    </w:p>
    <w:p>
      <w:pPr>
        <w:pStyle w:val="Heading1"/>
      </w:pPr>
      <w:r>
        <w:t>5. Data notes and caveats</w:t>
      </w:r>
    </w:p>
    <w:p>
      <w:r>
        <w:t xml:space="preserve">Paper baseline as of </w:t>
      </w:r>
      <w:r>
        <w:t>12 October 2026</w:t>
      </w:r>
      <w:r>
        <w:t>; the Country Insights page holds the detail.</w:t>
      </w:r>
    </w:p>
    <w:p>
      <w:pPr>
        <w:pStyle w:val="ListBullet"/>
      </w:pPr>
      <w:r>
        <w:t>Scores compare Luxembourg with other economies in the same sector; they are not measures of risk or profit in absolute terms.</w:t>
      </w:r>
    </w:p>
    <w:p>
      <w:pPr>
        <w:pStyle w:val="ListBullet"/>
      </w:pPr>
      <w:r>
        <w:t>All index values are the paper's baseline as of 12 October 2026; Strategic Insights recomputes them under other weightings.</w:t>
      </w:r>
    </w:p>
    <w:p>
      <w:pPr>
        <w:pStyle w:val="ListBullet"/>
      </w:pPr>
      <w:r>
        <w:t>Some figures behind these scores are filled in where the source has no value: with zero where a source lists every holder, otherwise with the world average.</w:t>
      </w:r>
    </w:p>
    <w:p>
      <w:pPr>
        <w:pStyle w:val="ListBullet"/>
      </w:pPr>
      <w:r>
        <w:t>Strategic Index scores within 0.01 of each other are almost tied: small changes in the data or the weights can swap their order.</w:t>
      </w:r>
    </w:p>
    <w:p>
      <w:pPr>
        <w:pStyle w:val="ListBullet"/>
      </w:pPr>
      <w:r>
        <w:t>Many allied picks are close calls: in the paper, 37% of them are within 0.01 of the runner-up.</w:t>
      </w:r>
    </w:p>
    <w:p>
      <w:pPr>
        <w:pStyle w:val="ListBullet"/>
      </w:pPr>
      <w:r>
        <w:t>In the allied network design the European Union is one producer; Luxembourg's shares are derived from its weight within the EU.</w:t>
      </w:r>
    </w:p>
    <w:p>
      <w:pPr>
        <w:pStyle w:val="ListBullet"/>
      </w:pPr>
      <w:r>
        <w:t>The Climate Action Tracker rates the EU as a whole; Luxembourg carries the EU's rating.</w:t>
      </w:r>
    </w:p>
    <w:p>
      <w:pPr>
        <w:pStyle w:val="ListBullet"/>
      </w:pPr>
      <w:r>
        <w:t>Luxembourg's counts leave out the EU's own 438 International Energy Agency policy records.</w:t>
      </w:r>
    </w:p>
    <w:p>
      <w:pPr>
        <w:pStyle w:val="ListBullet"/>
      </w:pPr>
      <w:r>
        <w:t>Trade figures count trade with other EU members.</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Energy Institute, Statistical Review of World Energy 2026 (data to 2025); attribution; https://www.energyinst.org/statistical-review.</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Allied network design (the paper's model design of coalition production shares).</w:t>
      </w:r>
    </w:p>
    <w:p>
      <w:pPr>
        <w:pStyle w:val="ListNumber"/>
      </w:pPr>
      <w:r>
        <w:rPr>
          <w:sz w:val="17"/>
        </w:rPr>
        <w:t>Climate Action Tracker, country ratings (ratings updated 2022-2025); attribution; https://climateactiontracker.org/.</w:t>
      </w:r>
    </w:p>
    <w:p>
      <w:pPr>
        <w:pStyle w:val="ListNumber"/>
      </w:pPr>
      <w:r>
        <w:rPr>
          <w:sz w:val="17"/>
        </w:rPr>
        <w:t>International Energy Agency, Policies and Measures Database (export of 2026-09-30); attribution; https://www.iea.org/policies.</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Luxembourg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Luxembourg: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LUX</cp:keywords>
  <dc:description>paper baseline as of 12 October 2026; fact sheet sha256 a8965f661d6392d4a9887547e98797317cfe4180473d63b8c9d23ffc2e66adcf</dc:description>
  <cp:lastModifiedBy/>
  <cp:revision>1</cp:revision>
  <dcterms:created xsi:type="dcterms:W3CDTF">2013-12-23T23:15:00Z</dcterms:created>
  <dcterms:modified xsi:type="dcterms:W3CDTF">2013-12-23T23:15:00Z</dcterms:modified>
  <cp:category/>
</cp:coreProperties>
</file>