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Netherlands: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 xml:space="preserve">The Netherlands is most exposed in </w:t>
            </w:r>
            <w:r>
              <w:t>upstream nuclear</w:t>
            </w:r>
            <w:r>
              <w:t xml:space="preserve">, </w:t>
            </w:r>
            <w:r>
              <w:t>upstream coal</w:t>
            </w:r>
            <w:r>
              <w:t xml:space="preserve"> and </w:t>
            </w:r>
            <w:r>
              <w:t>downstream gas</w:t>
            </w:r>
            <w:r>
              <w:t xml:space="preserve">, where its Energy Security is higher than only </w:t>
            </w:r>
            <w:r>
              <w:t>4%</w:t>
            </w:r>
            <w:r>
              <w:t xml:space="preserve">, </w:t>
            </w:r>
            <w:r>
              <w:t>13%</w:t>
            </w:r>
            <w:r>
              <w:t xml:space="preserve"> and </w:t>
            </w:r>
            <w:r>
              <w:t>18%</w:t>
            </w:r>
            <w:r>
              <w:t xml:space="preserve"> of the other economies scored. A trade deficit and a coal shortfall pull the upstream scores down.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strongest openings are in </w:t>
            </w:r>
            <w:r>
              <w:t>downstream batteries</w:t>
            </w:r>
            <w:r>
              <w:t xml:space="preserve">, </w:t>
            </w:r>
            <w:r>
              <w:t>midstream nuclear</w:t>
            </w:r>
            <w:r>
              <w:t xml:space="preserve"> and </w:t>
            </w:r>
            <w:r>
              <w:t>upstream nuclear</w:t>
            </w:r>
            <w:r>
              <w:t xml:space="preserve">, where its Economic Opportunity is higher than </w:t>
            </w:r>
            <w:r>
              <w:t>97%</w:t>
            </w:r>
            <w:r>
              <w:t xml:space="preserve">, </w:t>
            </w:r>
            <w:r>
              <w:t>95%</w:t>
            </w:r>
            <w:r>
              <w:t xml:space="preserve"> and </w:t>
            </w:r>
            <w:r>
              <w:t>93%</w:t>
            </w:r>
            <w:r>
              <w:t xml:space="preserve"> of the other economies scored. Investment pushes up the battery score and trade the nuclear scores.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the Strategic Index puts </w:t>
            </w:r>
            <w:r>
              <w:t>upstream nuclear</w:t>
            </w:r>
            <w:r>
              <w:t xml:space="preserve"> </w:t>
            </w:r>
            <w:r>
              <w:t>1st</w:t>
            </w:r>
            <w:r>
              <w:t xml:space="preserve"> among the Netherlands' own sectors; its policy activity is in the "</w:t>
            </w:r>
            <w:r>
              <w:t>middle</w:t>
            </w:r>
            <w:r>
              <w:t>" group.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Spain</w:t>
            </w:r>
            <w:r>
              <w:t xml:space="preserve"> highest for the Netherlands, as a </w:t>
            </w:r>
            <w:r>
              <w:t>reliable supplier</w:t>
            </w:r>
            <w:r>
              <w:t xml:space="preserve">; it is also the Netherlands' </w:t>
            </w:r>
            <w:r>
              <w:t>6th</w:t>
            </w:r>
            <w:r>
              <w:t xml:space="preserve"> trade partner. </w:t>
            </w:r>
            <w:r>
              <w:t>China</w:t>
            </w:r>
            <w:r>
              <w:t xml:space="preserve"> ranks </w:t>
            </w:r>
            <w:r>
              <w:t>4th</w:t>
            </w:r>
            <w:r>
              <w:t xml:space="preserve"> among its trade partners but </w:t>
            </w:r>
            <w:r>
              <w:t>44th</w:t>
            </w:r>
            <w:r>
              <w:t xml:space="preserve"> on Partnership Strength.</w:t>
            </w:r>
            <w:r>
              <w:rPr>
                <w:color w:val="4B5563"/>
                <w:vertAlign w:val="superscript"/>
              </w:rPr>
              <w:t>1,2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 xml:space="preserve">Energy Security measures how well a country can rely on what it needs in a sector, compared with other economies. Of the Netherlands' </w:t>
      </w:r>
      <w:r>
        <w:t>30</w:t>
      </w:r>
      <w:r>
        <w:t xml:space="preserve"> placed sectors (those comparable on both scores), </w:t>
      </w:r>
      <w:r>
        <w:t>9</w:t>
      </w:r>
      <w:r>
        <w:t xml:space="preserve"> sit in the two low-energy-security corners: </w:t>
      </w:r>
      <w:r>
        <w:t>8</w:t>
      </w:r>
      <w:r>
        <w:t xml:space="preserve"> in the Upgrade corner and </w:t>
      </w:r>
      <w:r>
        <w:t>1</w:t>
      </w:r>
      <w:r>
        <w:t xml:space="preserve"> in the Secure corner. Compared with other economies in each sector, its Energy Security is lowest in </w:t>
      </w:r>
      <w:r>
        <w:t>upstream nuclear</w:t>
      </w:r>
      <w:r>
        <w:t xml:space="preserve"> (</w:t>
      </w:r>
      <w:r>
        <w:t>0.16</w:t>
      </w:r>
      <w:r>
        <w:t xml:space="preserve">), </w:t>
      </w:r>
      <w:r>
        <w:t>upstream coal</w:t>
      </w:r>
      <w:r>
        <w:t xml:space="preserve"> (</w:t>
      </w:r>
      <w:r>
        <w:t>0.25</w:t>
      </w:r>
      <w:r>
        <w:t xml:space="preserve">) and </w:t>
      </w:r>
      <w:r>
        <w:t>downstream gas</w:t>
      </w:r>
      <w:r>
        <w:t xml:space="preserve"> (</w:t>
      </w:r>
      <w:r>
        <w:t>0.41</w:t>
      </w:r>
      <w:r>
        <w:t xml:space="preserve">). It scores higher than only </w:t>
      </w:r>
      <w:r>
        <w:t>4%</w:t>
      </w:r>
      <w:r>
        <w:t xml:space="preserve">, </w:t>
      </w:r>
      <w:r>
        <w:t>13%</w:t>
      </w:r>
      <w:r>
        <w:t xml:space="preserve"> and </w:t>
      </w:r>
      <w:r>
        <w:t>18%</w:t>
      </w:r>
      <w:r>
        <w:t xml:space="preserve"> of the other </w:t>
      </w:r>
      <w:r>
        <w:t>174</w:t>
      </w:r>
      <w:r>
        <w:t xml:space="preserve">, </w:t>
      </w:r>
      <w:r>
        <w:t>95</w:t>
      </w:r>
      <w:r>
        <w:t xml:space="preserve"> and </w:t>
      </w:r>
      <w:r>
        <w:t>98</w:t>
      </w:r>
      <w:r>
        <w:t xml:space="preserve"> economies scored in these sectors. Both </w:t>
      </w:r>
      <w:r>
        <w:t>upstream nuclear</w:t>
      </w:r>
      <w:r>
        <w:t xml:space="preserve"> and </w:t>
      </w:r>
      <w:r>
        <w:t>upstream coal</w:t>
      </w:r>
      <w:r>
        <w:t xml:space="preserve"> sit in the </w:t>
      </w:r>
      <w:r>
        <w:t>Upgrade</w:t>
      </w:r>
      <w:r>
        <w:t xml:space="preserve"> corner, and </w:t>
      </w:r>
      <w:r>
        <w:t>downstream gas</w:t>
      </w:r>
      <w:r>
        <w:t xml:space="preserve"> in the </w:t>
      </w:r>
      <w:r>
        <w:t>Secure</w:t>
      </w:r>
      <w:r>
        <w:t xml:space="preserve"> corner.</w:t>
      </w:r>
      <w:r>
        <w:rPr>
          <w:color w:val="4B5563"/>
          <w:vertAlign w:val="superscript"/>
        </w:rPr>
        <w:t>1</w:t>
      </w:r>
    </w:p>
    <w:p>
      <w:r>
        <w:t xml:space="preserve">Its high-priority sectors, chosen from the Upgrade corner by Strategic Index rank, are </w:t>
      </w:r>
      <w:r>
        <w:t>upstream nuclear, midstream batteries and upstream electric grid</w:t>
      </w:r>
      <w:r>
        <w:t xml:space="preserve">. In </w:t>
      </w:r>
      <w:r>
        <w:t>upstream nuclear</w:t>
      </w:r>
      <w:r>
        <w:t xml:space="preserve">, the trade category pulls the score down. Its trade deficit in these goods was </w:t>
      </w:r>
      <w:r>
        <w:t>0.1% of GDP</w:t>
      </w:r>
      <w:r>
        <w:t xml:space="preserve"> in </w:t>
      </w:r>
      <w:r>
        <w:t>2023</w:t>
      </w:r>
      <w:r>
        <w:t xml:space="preserve">, a measure on which it scores higher than only </w:t>
      </w:r>
      <w:r>
        <w:t>1%</w:t>
      </w:r>
      <w:r>
        <w:t xml:space="preserve"> of the other economies. For context, its largest suppliers in </w:t>
      </w:r>
      <w:r>
        <w:t>2024</w:t>
      </w:r>
      <w:r>
        <w:t xml:space="preserve"> were </w:t>
      </w:r>
      <w:r>
        <w:t>Canada</w:t>
      </w:r>
      <w:r>
        <w:t xml:space="preserve"> (</w:t>
      </w:r>
      <w:r>
        <w:t>63.0%</w:t>
      </w:r>
      <w:r>
        <w:t xml:space="preserve"> of imports totalling </w:t>
      </w:r>
      <w:r>
        <w:t>USD 1.29 bn</w:t>
      </w:r>
      <w:r>
        <w:t xml:space="preserve">), the </w:t>
      </w:r>
      <w:r>
        <w:t>United States</w:t>
      </w:r>
      <w:r>
        <w:t xml:space="preserve"> (</w:t>
      </w:r>
      <w:r>
        <w:t>21.7%</w:t>
      </w:r>
      <w:r>
        <w:t xml:space="preserve">) and </w:t>
      </w:r>
      <w:r>
        <w:t>France</w:t>
      </w:r>
      <w:r>
        <w:t xml:space="preserve"> (</w:t>
      </w:r>
      <w:r>
        <w:t>14.5%</w:t>
      </w:r>
      <w:r>
        <w:t xml:space="preserve">). In </w:t>
      </w:r>
      <w:r>
        <w:t>midstream batteries</w:t>
      </w:r>
      <w:r>
        <w:t xml:space="preserve">, also in the </w:t>
      </w:r>
      <w:r>
        <w:t>Upgrade</w:t>
      </w:r>
      <w:r>
        <w:t xml:space="preserve"> corner, the trade deficit was </w:t>
      </w:r>
      <w:r>
        <w:t>0.3% of GDP</w:t>
      </w:r>
      <w:r>
        <w:t xml:space="preserve"> and its share of world exports </w:t>
      </w:r>
      <w:r>
        <w:t>1.4%</w:t>
      </w:r>
      <w:r>
        <w:t xml:space="preserve">, both in </w:t>
      </w:r>
      <w:r>
        <w:t>2023</w:t>
      </w:r>
      <w:r>
        <w:t>.</w:t>
      </w:r>
      <w:r>
        <w:rPr>
          <w:color w:val="4B5563"/>
          <w:vertAlign w:val="superscript"/>
        </w:rPr>
        <w:t>1,2,3</w:t>
      </w:r>
    </w:p>
    <w:p>
      <w:r>
        <w:t xml:space="preserve">Energy imports pull </w:t>
      </w:r>
      <w:r>
        <w:t>upstream coal</w:t>
      </w:r>
      <w:r>
        <w:t xml:space="preserve"> down: coal production minus consumption was </w:t>
      </w:r>
      <w:r>
        <w:t>-0.19 EJ</w:t>
      </w:r>
      <w:r>
        <w:t xml:space="preserve"> in </w:t>
      </w:r>
      <w:r>
        <w:t>2025</w:t>
      </w:r>
      <w:r>
        <w:t xml:space="preserve">. In </w:t>
      </w:r>
      <w:r>
        <w:t>downstream gas</w:t>
      </w:r>
      <w:r>
        <w:t xml:space="preserve">, energy access pulls the score down: gas use per person changed by </w:t>
      </w:r>
      <w:r>
        <w:t>-30.6%</w:t>
      </w:r>
      <w:r>
        <w:t xml:space="preserve"> over the years to </w:t>
      </w:r>
      <w:r>
        <w:t>2025</w:t>
      </w:r>
      <w:r>
        <w:t>.</w:t>
      </w:r>
      <w:r>
        <w:rPr>
          <w:color w:val="4B5563"/>
          <w:vertAlign w:val="superscript"/>
        </w:rPr>
        <w:t>4,5</w:t>
      </w:r>
    </w:p>
    <w:p>
      <w:pPr>
        <w:pStyle w:val="Heading1"/>
      </w:pPr>
      <w:r>
        <w:t>2. Economic opportunities and why</w:t>
      </w:r>
    </w:p>
    <w:p>
      <w:r>
        <w:t xml:space="preserve">Economic Opportunity measures how well placed a country is to create value in a sector, from exports and related capabilities to investment, costs and demand. Of the </w:t>
      </w:r>
      <w:r>
        <w:t>30</w:t>
      </w:r>
      <w:r>
        <w:t xml:space="preserve"> placed sectors, </w:t>
      </w:r>
      <w:r>
        <w:t>27</w:t>
      </w:r>
      <w:r>
        <w:t xml:space="preserve"> sit in the two high-opportunity corners: </w:t>
      </w:r>
      <w:r>
        <w:t>19</w:t>
      </w:r>
      <w:r>
        <w:t xml:space="preserve"> in the Grow corner, with high energy security, and </w:t>
      </w:r>
      <w:r>
        <w:t>8</w:t>
      </w:r>
      <w:r>
        <w:t xml:space="preserve"> in the Upgrade corner, with low energy security. Its Economic Opportunity ranks highest in </w:t>
      </w:r>
      <w:r>
        <w:t>downstream batteries</w:t>
      </w:r>
      <w:r>
        <w:t xml:space="preserve">, </w:t>
      </w:r>
      <w:r>
        <w:t>midstream nuclear</w:t>
      </w:r>
      <w:r>
        <w:t xml:space="preserve"> and </w:t>
      </w:r>
      <w:r>
        <w:t>upstream nuclear</w:t>
      </w:r>
      <w:r>
        <w:t xml:space="preserve">, higher than </w:t>
      </w:r>
      <w:r>
        <w:t>97%</w:t>
      </w:r>
      <w:r>
        <w:t xml:space="preserve">, </w:t>
      </w:r>
      <w:r>
        <w:t>95%</w:t>
      </w:r>
      <w:r>
        <w:t xml:space="preserve"> and </w:t>
      </w:r>
      <w:r>
        <w:t>93%</w:t>
      </w:r>
      <w:r>
        <w:t xml:space="preserve"> of the other </w:t>
      </w:r>
      <w:r>
        <w:t>138</w:t>
      </w:r>
      <w:r>
        <w:t xml:space="preserve">, </w:t>
      </w:r>
      <w:r>
        <w:t>153</w:t>
      </w:r>
      <w:r>
        <w:t xml:space="preserve"> and </w:t>
      </w:r>
      <w:r>
        <w:t>174</w:t>
      </w:r>
      <w:r>
        <w:t xml:space="preserve"> economies scored.</w:t>
      </w:r>
      <w:r>
        <w:rPr>
          <w:color w:val="4B5563"/>
          <w:vertAlign w:val="superscript"/>
        </w:rPr>
        <w:t>1</w:t>
      </w:r>
    </w:p>
    <w:p>
      <w:r>
        <w:t xml:space="preserve">Investment pushes </w:t>
      </w:r>
      <w:r>
        <w:t>downstream batteries</w:t>
      </w:r>
      <w:r>
        <w:t xml:space="preserve"> up: it scores higher than </w:t>
      </w:r>
      <w:r>
        <w:t>96%</w:t>
      </w:r>
      <w:r>
        <w:t xml:space="preserve"> of the other economies on annual investment and </w:t>
      </w:r>
      <w:r>
        <w:t>98%</w:t>
      </w:r>
      <w:r>
        <w:t xml:space="preserve"> on growth in investment. Trade pushes </w:t>
      </w:r>
      <w:r>
        <w:t>midstream nuclear</w:t>
      </w:r>
      <w:r>
        <w:t xml:space="preserve"> up: its share of world exports was </w:t>
      </w:r>
      <w:r>
        <w:t>5.6%</w:t>
      </w:r>
      <w:r>
        <w:t xml:space="preserve"> in </w:t>
      </w:r>
      <w:r>
        <w:t>2023</w:t>
      </w:r>
      <w:r>
        <w:t xml:space="preserve">, and its revealed comparative advantage </w:t>
      </w:r>
      <w:r>
        <w:t>4.17</w:t>
      </w:r>
      <w:r>
        <w:t xml:space="preserve"> in </w:t>
      </w:r>
      <w:r>
        <w:t>2024</w:t>
      </w:r>
      <w:r>
        <w:t xml:space="preserve">. It thus exports more of these goods than the size of its trade would suggest. Trade also pushes </w:t>
      </w:r>
      <w:r>
        <w:t>upstream nuclear</w:t>
      </w:r>
      <w:r>
        <w:t xml:space="preserve"> up: on export feasibility, how close these goods are to what it already exports well, it scores higher than </w:t>
      </w:r>
      <w:r>
        <w:t>99%</w:t>
      </w:r>
      <w:r>
        <w:t xml:space="preserve"> of the other economies.</w:t>
      </w:r>
      <w:r>
        <w:rPr>
          <w:color w:val="4B5563"/>
          <w:vertAlign w:val="superscript"/>
        </w:rPr>
        <w:t>1,3,6</w:t>
      </w:r>
    </w:p>
    <w:p>
      <w:r>
        <w:t xml:space="preserve">For context, the </w:t>
      </w:r>
      <w:r>
        <w:t>United States</w:t>
      </w:r>
      <w:r>
        <w:t xml:space="preserve"> took </w:t>
      </w:r>
      <w:r>
        <w:t>45.7%</w:t>
      </w:r>
      <w:r>
        <w:t xml:space="preserve"> of its </w:t>
      </w:r>
      <w:r>
        <w:t>midstream nuclear</w:t>
      </w:r>
      <w:r>
        <w:t xml:space="preserve"> exports of </w:t>
      </w:r>
      <w:r>
        <w:t>USD 1.31 bn</w:t>
      </w:r>
      <w:r>
        <w:t xml:space="preserve"> in </w:t>
      </w:r>
      <w:r>
        <w:t>2024</w:t>
      </w:r>
      <w:r>
        <w:t xml:space="preserve">, </w:t>
      </w:r>
      <w:r>
        <w:t>Sweden</w:t>
      </w:r>
      <w:r>
        <w:t xml:space="preserve"> </w:t>
      </w:r>
      <w:r>
        <w:t>23.7%</w:t>
      </w:r>
      <w:r>
        <w:t xml:space="preserve"> and </w:t>
      </w:r>
      <w:r>
        <w:t>France</w:t>
      </w:r>
      <w:r>
        <w:t xml:space="preserve"> </w:t>
      </w:r>
      <w:r>
        <w:t>19.0%</w:t>
      </w:r>
      <w:r>
        <w:t xml:space="preserve">. The paper's framework associates the </w:t>
      </w:r>
      <w:r>
        <w:t>Upgrade</w:t>
      </w:r>
      <w:r>
        <w:t xml:space="preserve"> corner, where </w:t>
      </w:r>
      <w:r>
        <w:t>upstream nuclear</w:t>
      </w:r>
      <w:r>
        <w:t xml:space="preserve"> sits, with leapfrogging: building capability where opportunity is high and energy security low.</w:t>
      </w:r>
      <w:r>
        <w:rPr>
          <w:color w:val="4B5563"/>
          <w:vertAlign w:val="superscript"/>
        </w:rPr>
        <w:t>1,2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the Netherlands' own sectors by combining opportunity, security need, policy activity, the supply-chain stage and the technology's low-emission value. On the paper's weighting, it puts </w:t>
      </w:r>
      <w:r>
        <w:t>upstream nuclear</w:t>
      </w:r>
      <w:r>
        <w:t xml:space="preserve"> </w:t>
      </w:r>
      <w:r>
        <w:t>1st</w:t>
      </w:r>
      <w:r>
        <w:t xml:space="preserve">, </w:t>
      </w:r>
      <w:r>
        <w:t>upstream wind</w:t>
      </w:r>
      <w:r>
        <w:t xml:space="preserve"> </w:t>
      </w:r>
      <w:r>
        <w:t>2nd</w:t>
      </w:r>
      <w:r>
        <w:t xml:space="preserve">, </w:t>
      </w:r>
      <w:r>
        <w:t>upstream batteries</w:t>
      </w:r>
      <w:r>
        <w:t xml:space="preserve"> </w:t>
      </w:r>
      <w:r>
        <w:t>3rd</w:t>
      </w:r>
      <w:r>
        <w:t xml:space="preserve">, </w:t>
      </w:r>
      <w:r>
        <w:t>midstream batteries</w:t>
      </w:r>
      <w:r>
        <w:t xml:space="preserve"> </w:t>
      </w:r>
      <w:r>
        <w:t>4th</w:t>
      </w:r>
      <w:r>
        <w:t xml:space="preserve"> and </w:t>
      </w:r>
      <w:r>
        <w:t>midstream green hydrogen</w:t>
      </w:r>
      <w:r>
        <w:t xml:space="preserve"> </w:t>
      </w:r>
      <w:r>
        <w:t>5th</w:t>
      </w:r>
      <w:r>
        <w:t xml:space="preserve"> among its own sectors. At </w:t>
      </w:r>
      <w:r>
        <w:t>0.67</w:t>
      </w:r>
      <w:r>
        <w:t xml:space="preserve">, </w:t>
      </w:r>
      <w:r>
        <w:t>upstream nuclear</w:t>
      </w:r>
      <w:r>
        <w:t xml:space="preserve"> leads by </w:t>
      </w:r>
      <w:r>
        <w:t>0.025</w:t>
      </w:r>
      <w:r>
        <w:t xml:space="preserve">; security need adds </w:t>
      </w:r>
      <w:r>
        <w:t>0.253</w:t>
      </w:r>
      <w:r>
        <w:t xml:space="preserve"> to its score and opportunity </w:t>
      </w:r>
      <w:r>
        <w:t>0.165</w:t>
      </w:r>
      <w:r>
        <w:t xml:space="preserve">. The sectors after it are almost tied, with gaps of </w:t>
      </w:r>
      <w:r>
        <w:t>0.003</w:t>
      </w:r>
      <w:r>
        <w:t xml:space="preserve">, </w:t>
      </w:r>
      <w:r>
        <w:t>0.003</w:t>
      </w:r>
      <w:r>
        <w:t xml:space="preserve"> and </w:t>
      </w:r>
      <w:r>
        <w:t>0.002</w:t>
      </w:r>
      <w:r>
        <w:t xml:space="preserve">. Its allied pick, the top upstream or midstream sector after a resource screen, is </w:t>
      </w:r>
      <w:r>
        <w:t>midstream batteries</w:t>
      </w:r>
      <w:r>
        <w:t>; the leading upstream sectors fall to that screen.</w:t>
      </w:r>
      <w:r>
        <w:rPr>
          <w:color w:val="4B5563"/>
          <w:vertAlign w:val="superscript"/>
        </w:rPr>
        <w:t>1</w:t>
      </w:r>
    </w:p>
    <w:p>
      <w:r>
        <w:t xml:space="preserve">Policy activity counts International Energy Agency Policies and Measures records and reads the Climate Action Tracker rating against each technology; data-based priority is the Strategic Index without its policy term. Splitting its sectors into thirds on each measure, top priority meets the most policy in </w:t>
      </w:r>
      <w:r>
        <w:t>upstream batteries, midstream batteries and midstream green hydrogen</w:t>
      </w:r>
      <w:r>
        <w:t xml:space="preserve">. Its </w:t>
      </w:r>
      <w:r>
        <w:t>1st</w:t>
      </w:r>
      <w:r>
        <w:t xml:space="preserve"> and </w:t>
      </w:r>
      <w:r>
        <w:t>2nd</w:t>
      </w:r>
      <w:r>
        <w:t xml:space="preserve"> sectors, </w:t>
      </w:r>
      <w:r>
        <w:t>upstream nuclear</w:t>
      </w:r>
      <w:r>
        <w:t xml:space="preserve"> and </w:t>
      </w:r>
      <w:r>
        <w:t>upstream wind</w:t>
      </w:r>
      <w:r>
        <w:t xml:space="preserve">, are in the </w:t>
      </w:r>
      <w:r>
        <w:t>top third</w:t>
      </w:r>
      <w:r>
        <w:t xml:space="preserve"> on data-based priority but in the "</w:t>
      </w:r>
      <w:r>
        <w:t>middle</w:t>
      </w:r>
      <w:r>
        <w:t xml:space="preserve">" policy group. No top-priority sector has the least policy. Bottom priority meets the most policy in </w:t>
      </w:r>
      <w:r>
        <w:t>downstream green hydrogen</w:t>
      </w:r>
      <w:r>
        <w:t xml:space="preserve"> and the least in </w:t>
      </w:r>
      <w:r>
        <w:t>7</w:t>
      </w:r>
      <w:r>
        <w:t xml:space="preserve"> sectors, every oil and coal sector among them. As an EU member, the Netherlands carries the Climate Action Tracker rating </w:t>
      </w:r>
      <w:r>
        <w:t>Insufficient</w:t>
      </w:r>
      <w:r>
        <w:t xml:space="preserve"> (</w:t>
      </w:r>
      <w:r>
        <w:t>November 2024</w:t>
      </w:r>
      <w:r>
        <w:t xml:space="preserve">); it has </w:t>
      </w:r>
      <w:r>
        <w:t>265</w:t>
      </w:r>
      <w:r>
        <w:t xml:space="preserve"> Policies and Measures records of its own, </w:t>
      </w:r>
      <w:r>
        <w:t>144</w:t>
      </w:r>
      <w:r>
        <w:t xml:space="preserve"> naming a technology. For context, Global Trade Alert lists </w:t>
      </w:r>
      <w:r>
        <w:t>637</w:t>
      </w:r>
      <w:r>
        <w:t xml:space="preserve"> active industrial-policy measures that apply to the Netherlands, </w:t>
      </w:r>
      <w:r>
        <w:t>521</w:t>
      </w:r>
      <w:r>
        <w:t xml:space="preserve"> of them EU-wide.</w:t>
      </w:r>
      <w:r>
        <w:rPr>
          <w:color w:val="4B5563"/>
          <w:vertAlign w:val="superscript"/>
        </w:rPr>
        <w:t>1,7,8,9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rates partners from the Netherlands' viewpoint as reliable suppliers (Friendshore), as export markets (Partnership Opportunity) and, for middle- and lower-income partners, by Development Potential. It ranks </w:t>
      </w:r>
      <w:r>
        <w:t>Spain</w:t>
      </w:r>
      <w:r>
        <w:t xml:space="preserve"> </w:t>
      </w:r>
      <w:r>
        <w:t>1st</w:t>
      </w:r>
      <w:r>
        <w:t xml:space="preserve">, the </w:t>
      </w:r>
      <w:r>
        <w:t>United States</w:t>
      </w:r>
      <w:r>
        <w:t xml:space="preserve"> </w:t>
      </w:r>
      <w:r>
        <w:t>2nd</w:t>
      </w:r>
      <w:r>
        <w:t xml:space="preserve">, </w:t>
      </w:r>
      <w:r>
        <w:t>Germany</w:t>
      </w:r>
      <w:r>
        <w:t xml:space="preserve"> </w:t>
      </w:r>
      <w:r>
        <w:t>3rd</w:t>
      </w:r>
      <w:r>
        <w:t xml:space="preserve">, </w:t>
      </w:r>
      <w:r>
        <w:t>Belgium</w:t>
      </w:r>
      <w:r>
        <w:t xml:space="preserve"> </w:t>
      </w:r>
      <w:r>
        <w:t>4th</w:t>
      </w:r>
      <w:r>
        <w:t xml:space="preserve"> and </w:t>
      </w:r>
      <w:r>
        <w:t>Italy</w:t>
      </w:r>
      <w:r>
        <w:t xml:space="preserve"> </w:t>
      </w:r>
      <w:r>
        <w:t>5th</w:t>
      </w:r>
      <w:r>
        <w:t xml:space="preserve"> of </w:t>
      </w:r>
      <w:r>
        <w:t>191</w:t>
      </w:r>
      <w:r>
        <w:t xml:space="preserve"> partners. </w:t>
      </w:r>
      <w:r>
        <w:t>Spain</w:t>
      </w:r>
      <w:r>
        <w:t xml:space="preserve"> and the </w:t>
      </w:r>
      <w:r>
        <w:t>United States</w:t>
      </w:r>
      <w:r>
        <w:t xml:space="preserve"> each stand out as a </w:t>
      </w:r>
      <w:r>
        <w:t>reliable supplier</w:t>
      </w:r>
      <w:r>
        <w:t xml:space="preserve">; for </w:t>
      </w:r>
      <w:r>
        <w:t>Spain</w:t>
      </w:r>
      <w:r>
        <w:t xml:space="preserve"> the best sectors include </w:t>
      </w:r>
      <w:r>
        <w:t>upstream nuclear, upstream solar, upstream wind, upstream batteries and upstream electric vehicles</w:t>
      </w:r>
      <w:r>
        <w:t xml:space="preserve">. </w:t>
      </w:r>
      <w:r>
        <w:t>Germany</w:t>
      </w:r>
      <w:r>
        <w:t xml:space="preserve">, </w:t>
      </w:r>
      <w:r>
        <w:t>Belgium</w:t>
      </w:r>
      <w:r>
        <w:t xml:space="preserve"> and </w:t>
      </w:r>
      <w:r>
        <w:t>Italy</w:t>
      </w:r>
      <w:r>
        <w:t xml:space="preserve"> each stand out as an </w:t>
      </w:r>
      <w:r>
        <w:t>export market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Today's ties follow these priorities closely. Each of these partners is </w:t>
      </w:r>
      <w:r>
        <w:t>a priority partner with strong ties today</w:t>
      </w:r>
      <w:r>
        <w:t xml:space="preserve">. By average share across its energy-goods baskets, </w:t>
      </w:r>
      <w:r>
        <w:t>Germany</w:t>
      </w:r>
      <w:r>
        <w:t xml:space="preserve"> is its </w:t>
      </w:r>
      <w:r>
        <w:t>1st</w:t>
      </w:r>
      <w:r>
        <w:t xml:space="preserve"> trade partner, </w:t>
      </w:r>
      <w:r>
        <w:t>Belgium</w:t>
      </w:r>
      <w:r>
        <w:t xml:space="preserve"> its </w:t>
      </w:r>
      <w:r>
        <w:t>2nd</w:t>
      </w:r>
      <w:r>
        <w:t xml:space="preserve">, the </w:t>
      </w:r>
      <w:r>
        <w:t>United States</w:t>
      </w:r>
      <w:r>
        <w:t xml:space="preserve"> its </w:t>
      </w:r>
      <w:r>
        <w:t>3rd</w:t>
      </w:r>
      <w:r>
        <w:t xml:space="preserve">, </w:t>
      </w:r>
      <w:r>
        <w:t>Italy</w:t>
      </w:r>
      <w:r>
        <w:t xml:space="preserve"> its </w:t>
      </w:r>
      <w:r>
        <w:t>5th</w:t>
      </w:r>
      <w:r>
        <w:t xml:space="preserve"> and </w:t>
      </w:r>
      <w:r>
        <w:t>Spain</w:t>
      </w:r>
      <w:r>
        <w:t xml:space="preserve"> its </w:t>
      </w:r>
      <w:r>
        <w:t>6th</w:t>
      </w:r>
      <w:r>
        <w:t xml:space="preserve">. They share membership of </w:t>
      </w:r>
      <w:r>
        <w:t>NATO</w:t>
      </w:r>
      <w:r>
        <w:t xml:space="preserve"> with the Netherlands and vote in the </w:t>
      </w:r>
      <w:r>
        <w:t>same bloc</w:t>
      </w:r>
      <w:r>
        <w:t xml:space="preserve"> at the UN. </w:t>
      </w:r>
      <w:r>
        <w:t>China</w:t>
      </w:r>
      <w:r>
        <w:t xml:space="preserve"> ranks </w:t>
      </w:r>
      <w:r>
        <w:t>4th</w:t>
      </w:r>
      <w:r>
        <w:t xml:space="preserve"> among its trade partners but </w:t>
      </w:r>
      <w:r>
        <w:t>44th</w:t>
      </w:r>
      <w:r>
        <w:t xml:space="preserve"> on Partnership Strength, and the countries vote in </w:t>
      </w:r>
      <w:r>
        <w:t>opposite blocs</w:t>
      </w:r>
      <w:r>
        <w:t>.</w:t>
      </w:r>
      <w:r>
        <w:rPr>
          <w:color w:val="4B5563"/>
          <w:vertAlign w:val="superscript"/>
        </w:rPr>
        <w:t>1,2,10,11</w:t>
      </w:r>
    </w:p>
    <w:p>
      <w:r>
        <w:t xml:space="preserve">As a partner to the coalition, the Netherlands ranks </w:t>
      </w:r>
      <w:r>
        <w:t>3rd</w:t>
      </w:r>
      <w:r>
        <w:t xml:space="preserve"> of </w:t>
      </w:r>
      <w:r>
        <w:t>192</w:t>
      </w:r>
      <w:r>
        <w:t xml:space="preserve"> economies on Partnership Strength averaged over the core members' viewpoints. In the allied network design, which spreads upstream and midstream production across coalition members, its largest derived shares are </w:t>
      </w:r>
      <w:r>
        <w:t>2.8%</w:t>
      </w:r>
      <w:r>
        <w:t xml:space="preserve"> of </w:t>
      </w:r>
      <w:r>
        <w:t>midstream nuclear</w:t>
      </w:r>
      <w:r>
        <w:t xml:space="preserve">, </w:t>
      </w:r>
      <w:r>
        <w:t>1.3%</w:t>
      </w:r>
      <w:r>
        <w:t xml:space="preserve"> of </w:t>
      </w:r>
      <w:r>
        <w:t>midstream green hydrogen</w:t>
      </w:r>
      <w:r>
        <w:t xml:space="preserve"> and </w:t>
      </w:r>
      <w:r>
        <w:t>1.2%</w:t>
      </w:r>
      <w:r>
        <w:t xml:space="preserve"> of </w:t>
      </w:r>
      <w:r>
        <w:t>upstream solar</w:t>
      </w:r>
      <w:r>
        <w:t>.</w:t>
      </w:r>
      <w:r>
        <w:rPr>
          <w:color w:val="4B5563"/>
          <w:vertAlign w:val="superscript"/>
        </w:rPr>
        <w:t>1,12</w:t>
      </w:r>
    </w:p>
    <w:p>
      <w:pPr>
        <w:pStyle w:val="Heading1"/>
      </w:pPr>
      <w:r>
        <w:t>5. Data notes and caveats</w:t>
      </w:r>
    </w:p>
    <w:p>
      <w:r>
        <w:t xml:space="preserve">The Country Insights page shows these data as of </w:t>
      </w:r>
      <w:r>
        <w:t>12 October 2026</w:t>
      </w:r>
      <w:r>
        <w:t>.</w:t>
      </w:r>
    </w:p>
    <w:p>
      <w:pPr>
        <w:pStyle w:val="ListBullet"/>
      </w:pPr>
      <w:r>
        <w:t>Scores compare the Netherlands with other economies in the same sector; they are not measures of risk or profit in absolute terms.</w:t>
      </w:r>
    </w:p>
    <w:p>
      <w:pPr>
        <w:pStyle w:val="ListBullet"/>
      </w:pPr>
      <w:r>
        <w:t>All index values are the paper's baseline as of 12 October 2026; Strategic Insights recomputes them under other weightings.</w:t>
      </w:r>
    </w:p>
    <w:p>
      <w:pPr>
        <w:pStyle w:val="ListBullet"/>
      </w:pPr>
      <w:r>
        <w:t>Strategic Index scores within 0.01 of each other are almost tied: small changes in the data or the weights can swap their order.</w:t>
      </w:r>
    </w:p>
    <w:p>
      <w:pPr>
        <w:pStyle w:val="ListBullet"/>
      </w:pPr>
      <w:r>
        <w:t>In the allied network design the European Union is one producer; the Netherlands' shares are derived from its weight within the EU.</w:t>
      </w:r>
    </w:p>
    <w:p>
      <w:pPr>
        <w:pStyle w:val="ListBullet"/>
      </w:pPr>
      <w:r>
        <w:t>The Climate Action Tracker rates the EU as a whole; the Netherlands carries the EU's rating.</w:t>
      </w:r>
    </w:p>
    <w:p>
      <w:pPr>
        <w:pStyle w:val="ListBullet"/>
      </w:pPr>
      <w:r>
        <w:t>The Netherlands' counts leave out the EU's own 438 International Energy Agency policy records.</w:t>
      </w:r>
    </w:p>
    <w:p>
      <w:pPr>
        <w:pStyle w:val="ListBullet"/>
      </w:pPr>
      <w:r>
        <w:t>Trade figures count trade with other EU members.</w:t>
      </w:r>
    </w:p>
    <w:p>
      <w:pPr>
        <w:pStyle w:val="ListBullet"/>
      </w:pPr>
      <w:r>
        <w:t>Industrial-policy measures from the Global Trade Alert, New Industrial Policy Observatory, October 2026 extract (as of 5 October 2026) are context only, outside the Policy index.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U.S. Energy Information Administration, International Energy Statistics, bulk file INTL.zip: crude oil incl. lease condensate, NGPL, dry natural gas and coal production; petroleum and other liquids, dry natural gas and coal consumption, bulk file dated 2026-10-03 (oil production to 2025; gas and coal to 2024); open; https://www.eia.gov/international/data/world.</w:t>
      </w:r>
    </w:p>
    <w:p>
      <w:pPr>
        <w:pStyle w:val="ListNumber"/>
      </w:pPr>
      <w:r>
        <w:rPr>
          <w:sz w:val="17"/>
        </w:rPr>
        <w:t>United Nations, UN Comtrade Database, exports to World by reporter, 2024 (2024 data); attribution; https://comtradeplus.un.org/.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Global Trade Alert, New Industrial Policy Observatory: industrial-policy interventions, strength scored by the authors, October 2026 extract (as of 5 October 2026); subscription (titles, dates and links only); https://www.globaltradealert.org/.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Netherlands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Netherlands: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NLD</cp:keywords>
  <dc:description>paper baseline as of 12 October 2026; fact sheet sha256 3f744e5c510914cc107a26672c5922441c6d182dbea6e0cece15006288c22d11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