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Norway: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 xml:space="preserve">Norway is most exposed in </w:t>
            </w:r>
            <w:r>
              <w:t>downstream solar</w:t>
            </w:r>
            <w:r>
              <w:t xml:space="preserve"> and </w:t>
            </w:r>
            <w:r>
              <w:t>downstream gas</w:t>
            </w:r>
            <w:r>
              <w:t xml:space="preserve">, where its Energy Security is higher than only </w:t>
            </w:r>
            <w:r>
              <w:t>11%</w:t>
            </w:r>
            <w:r>
              <w:t xml:space="preserve"> and </w:t>
            </w:r>
            <w:r>
              <w:t>12%</w:t>
            </w:r>
            <w:r>
              <w:t xml:space="preserve"> of the other economies scored. Its solar resource potential scores higher than only </w:t>
            </w:r>
            <w:r>
              <w:t>5%</w:t>
            </w:r>
            <w:r>
              <w:t xml:space="preserve"> of the other economies.</w:t>
            </w:r>
            <w:r>
              <w:rPr>
                <w:color w:val="4B5563"/>
                <w:vertAlign w:val="superscript"/>
              </w:rPr>
              <w:t>1</w:t>
            </w:r>
          </w:p>
          <w:p>
            <w:pPr>
              <w:pStyle w:val="ListBullet"/>
            </w:pPr>
            <w:r>
              <w:t xml:space="preserve">Its strongest openings are in </w:t>
            </w:r>
            <w:r>
              <w:t>upstream gas</w:t>
            </w:r>
            <w:r>
              <w:t xml:space="preserve"> and </w:t>
            </w:r>
            <w:r>
              <w:t>upstream oil</w:t>
            </w:r>
            <w:r>
              <w:t xml:space="preserve">, where its Economic Opportunity is higher than </w:t>
            </w:r>
            <w:r>
              <w:t>97%</w:t>
            </w:r>
            <w:r>
              <w:t xml:space="preserve"> and </w:t>
            </w:r>
            <w:r>
              <w:t>96%</w:t>
            </w:r>
            <w:r>
              <w:t xml:space="preserve"> of the other economies scored.</w:t>
            </w:r>
            <w:r>
              <w:rPr>
                <w:color w:val="4B5563"/>
                <w:vertAlign w:val="superscript"/>
              </w:rPr>
              <w:t>1</w:t>
            </w:r>
          </w:p>
          <w:p>
            <w:pPr>
              <w:pStyle w:val="ListBullet"/>
            </w:pPr>
            <w:r>
              <w:t xml:space="preserve">On the paper's weighting, the Strategic Index ranks </w:t>
            </w:r>
            <w:r>
              <w:t>downstream batteries</w:t>
            </w:r>
            <w:r>
              <w:t xml:space="preserve"> </w:t>
            </w:r>
            <w:r>
              <w:t>1st</w:t>
            </w:r>
            <w:r>
              <w:t xml:space="preserve"> among Norway's own sectors, almost tied with </w:t>
            </w:r>
            <w:r>
              <w:t>upstream solar</w:t>
            </w:r>
            <w:r>
              <w:t xml:space="preserve">. Top data-based priority meets the most policy activity in </w:t>
            </w:r>
            <w:r>
              <w:t>upstream solar, upstream batteries, midstream solar, midstream batteries and downstream solar</w:t>
            </w:r>
            <w:r>
              <w:t>.</w:t>
            </w:r>
            <w:r>
              <w:rPr>
                <w:color w:val="4B5563"/>
                <w:vertAlign w:val="superscript"/>
              </w:rPr>
              <w:t>1</w:t>
            </w:r>
          </w:p>
          <w:p>
            <w:pPr>
              <w:pStyle w:val="ListBullet"/>
            </w:pPr>
            <w:r>
              <w:t xml:space="preserve">The Partnership Strength Index rates </w:t>
            </w:r>
            <w:r>
              <w:t>Finland</w:t>
            </w:r>
            <w:r>
              <w:t xml:space="preserve"> highest for Norway, as an </w:t>
            </w:r>
            <w:r>
              <w:t>export market</w:t>
            </w:r>
            <w:r>
              <w:t xml:space="preserve">. </w:t>
            </w:r>
            <w:r>
              <w:t>Finland</w:t>
            </w:r>
            <w:r>
              <w:t xml:space="preserve"> ranks </w:t>
            </w:r>
            <w:r>
              <w:t>12th</w:t>
            </w:r>
            <w:r>
              <w:t xml:space="preserve"> among Norway's trade partners; </w:t>
            </w:r>
            <w:r>
              <w:t>China</w:t>
            </w:r>
            <w:r>
              <w:t xml:space="preserve"> ranks </w:t>
            </w:r>
            <w:r>
              <w:t>2nd</w:t>
            </w:r>
            <w:r>
              <w:t xml:space="preserve"> by trade but </w:t>
            </w:r>
            <w:r>
              <w:t>41st</w:t>
            </w:r>
            <w:r>
              <w:t xml:space="preserve"> on Partnership Strength.</w:t>
            </w:r>
            <w:r>
              <w:rPr>
                <w:color w:val="4B5563"/>
                <w:vertAlign w:val="superscript"/>
              </w:rPr>
              <w:t>1,2</w:t>
            </w:r>
          </w:p>
        </w:tc>
      </w:tr>
    </w:tbl>
    <w:p/>
    <w:p>
      <w:pPr>
        <w:pStyle w:val="Heading1"/>
      </w:pPr>
      <w:r>
        <w:t>1. Energy security risks and why</w:t>
      </w:r>
    </w:p>
    <w:p>
      <w:r>
        <w:t>9</w:t>
      </w:r>
      <w:r>
        <w:t xml:space="preserve"> of Norway's </w:t>
      </w:r>
      <w:r>
        <w:t>29</w:t>
      </w:r>
      <w:r>
        <w:t xml:space="preserve"> placed sectors, those whose scores can be compared with other economies, sit in the two low-energy-security corners, Upgrade and Secure. Energy Security measures how well a country can rely on what it needs in a sector: its own production and reserves, its import needs and how concentrated world supply is.</w:t>
      </w:r>
      <w:r>
        <w:rPr>
          <w:color w:val="4B5563"/>
          <w:vertAlign w:val="superscript"/>
        </w:rPr>
        <w:t>1</w:t>
      </w:r>
    </w:p>
    <w:p>
      <w:r>
        <w:t xml:space="preserve">Its lowest Energy Security percentiles are in </w:t>
      </w:r>
      <w:r>
        <w:t>downstream solar</w:t>
      </w:r>
      <w:r>
        <w:t xml:space="preserve">, </w:t>
      </w:r>
      <w:r>
        <w:t>downstream gas</w:t>
      </w:r>
      <w:r>
        <w:t xml:space="preserve"> and </w:t>
      </w:r>
      <w:r>
        <w:t>midstream electric vehicles</w:t>
      </w:r>
      <w:r>
        <w:t xml:space="preserve">. In </w:t>
      </w:r>
      <w:r>
        <w:t>downstream solar</w:t>
      </w:r>
      <w:r>
        <w:t xml:space="preserve"> it scores </w:t>
      </w:r>
      <w:r>
        <w:t>0.41</w:t>
      </w:r>
      <w:r>
        <w:t xml:space="preserve">, higher than only </w:t>
      </w:r>
      <w:r>
        <w:t>11%</w:t>
      </w:r>
      <w:r>
        <w:t xml:space="preserve"> of the other </w:t>
      </w:r>
      <w:r>
        <w:t>147</w:t>
      </w:r>
      <w:r>
        <w:t xml:space="preserve"> economies scored, which places it in the </w:t>
      </w:r>
      <w:r>
        <w:t>Upgrade</w:t>
      </w:r>
      <w:r>
        <w:t xml:space="preserve"> corner. In </w:t>
      </w:r>
      <w:r>
        <w:t>downstream gas</w:t>
      </w:r>
      <w:r>
        <w:t xml:space="preserve"> it scores </w:t>
      </w:r>
      <w:r>
        <w:t>0.38</w:t>
      </w:r>
      <w:r>
        <w:t xml:space="preserve">, higher than </w:t>
      </w:r>
      <w:r>
        <w:t>12%</w:t>
      </w:r>
      <w:r>
        <w:t xml:space="preserve"> of the other </w:t>
      </w:r>
      <w:r>
        <w:t>98</w:t>
      </w:r>
      <w:r>
        <w:t xml:space="preserve">, and in </w:t>
      </w:r>
      <w:r>
        <w:t>midstream electric vehicles</w:t>
      </w:r>
      <w:r>
        <w:t xml:space="preserve"> </w:t>
      </w:r>
      <w:r>
        <w:t>0.32</w:t>
      </w:r>
      <w:r>
        <w:t xml:space="preserve">, higher than </w:t>
      </w:r>
      <w:r>
        <w:t>18%</w:t>
      </w:r>
      <w:r>
        <w:t xml:space="preserve"> of the other </w:t>
      </w:r>
      <w:r>
        <w:t>96</w:t>
      </w:r>
      <w:r>
        <w:t xml:space="preserve">; both sit in the </w:t>
      </w:r>
      <w:r>
        <w:t>Secure</w:t>
      </w:r>
      <w:r>
        <w:t xml:space="preserve"> corner.</w:t>
      </w:r>
      <w:r>
        <w:rPr>
          <w:color w:val="4B5563"/>
          <w:vertAlign w:val="superscript"/>
        </w:rPr>
        <w:t>1</w:t>
      </w:r>
    </w:p>
    <w:p>
      <w:r>
        <w:t xml:space="preserve">Its high-priority sectors are the high-opportunity, low-energy-security sectors that the Strategic Index ranks highest. They include </w:t>
      </w:r>
      <w:r>
        <w:t>downstream solar</w:t>
      </w:r>
      <w:r>
        <w:t xml:space="preserve">, where reserves and investment pull the score down. On solar resource potential it scores higher than only </w:t>
      </w:r>
      <w:r>
        <w:t>5%</w:t>
      </w:r>
      <w:r>
        <w:t xml:space="preserve"> of the other economies, and on growth in investment higher than </w:t>
      </w:r>
      <w:r>
        <w:t>22%</w:t>
      </w:r>
      <w:r>
        <w:t>.</w:t>
      </w:r>
      <w:r>
        <w:rPr>
          <w:color w:val="4B5563"/>
          <w:vertAlign w:val="superscript"/>
        </w:rPr>
        <w:t>1</w:t>
      </w:r>
    </w:p>
    <w:p>
      <w:r>
        <w:t xml:space="preserve">In </w:t>
      </w:r>
      <w:r>
        <w:t>downstream gas</w:t>
      </w:r>
      <w:r>
        <w:t xml:space="preserve">, energy access pulls the score down. Its gas consumption was </w:t>
      </w:r>
      <w:r>
        <w:t>21.8 GJ per person</w:t>
      </w:r>
      <w:r>
        <w:t xml:space="preserve"> in </w:t>
      </w:r>
      <w:r>
        <w:t>2025</w:t>
      </w:r>
      <w:r>
        <w:t xml:space="preserve">, and on the change in consumption per person it scores higher than only </w:t>
      </w:r>
      <w:r>
        <w:t>8%</w:t>
      </w:r>
      <w:r>
        <w:t xml:space="preserve"> of the other economies. In </w:t>
      </w:r>
      <w:r>
        <w:t>midstream electric vehicles</w:t>
      </w:r>
      <w:r>
        <w:t xml:space="preserve">, foreign dependency and trade pull it down. The region it is grouped in made </w:t>
      </w:r>
      <w:r>
        <w:t>0.7%</w:t>
      </w:r>
      <w:r>
        <w:t xml:space="preserve"> of the world's electric vehicles in </w:t>
      </w:r>
      <w:r>
        <w:t>2024</w:t>
      </w:r>
      <w:r>
        <w:t xml:space="preserve">, and Norway's trade deficit in these goods equalled </w:t>
      </w:r>
      <w:r>
        <w:t>1.0% of GDP</w:t>
      </w:r>
      <w:r>
        <w:t xml:space="preserve"> in </w:t>
      </w:r>
      <w:r>
        <w:t>2023</w:t>
      </w:r>
      <w:r>
        <w:t>.</w:t>
      </w:r>
      <w:r>
        <w:rPr>
          <w:color w:val="4B5563"/>
          <w:vertAlign w:val="superscript"/>
        </w:rPr>
        <w:t>1,3,4,5</w:t>
      </w:r>
    </w:p>
    <w:p>
      <w:r>
        <w:t xml:space="preserve">For context, Norway imported </w:t>
      </w:r>
      <w:r>
        <w:t>USD 8.17 bn</w:t>
      </w:r>
      <w:r>
        <w:t xml:space="preserve"> of midstream electric-vehicle goods in </w:t>
      </w:r>
      <w:r>
        <w:t>2024</w:t>
      </w:r>
      <w:r>
        <w:t xml:space="preserve">; its largest suppliers were </w:t>
      </w:r>
      <w:r>
        <w:t>Germany</w:t>
      </w:r>
      <w:r>
        <w:t xml:space="preserve"> (</w:t>
      </w:r>
      <w:r>
        <w:t>33.2%</w:t>
      </w:r>
      <w:r>
        <w:t xml:space="preserve">), </w:t>
      </w:r>
      <w:r>
        <w:t>China</w:t>
      </w:r>
      <w:r>
        <w:t xml:space="preserve"> (</w:t>
      </w:r>
      <w:r>
        <w:t>18.3%</w:t>
      </w:r>
      <w:r>
        <w:t xml:space="preserve">) and </w:t>
      </w:r>
      <w:r>
        <w:t>Japan</w:t>
      </w:r>
      <w:r>
        <w:t xml:space="preserve"> (</w:t>
      </w:r>
      <w:r>
        <w:t>9.0%</w:t>
      </w:r>
      <w:r>
        <w:t>).</w:t>
      </w:r>
      <w:r>
        <w:rPr>
          <w:color w:val="4B5563"/>
          <w:vertAlign w:val="superscript"/>
        </w:rPr>
        <w:t>2</w:t>
      </w:r>
    </w:p>
    <w:p>
      <w:pPr>
        <w:pStyle w:val="Heading1"/>
      </w:pPr>
      <w:r>
        <w:t>2. Economic opportunities and why</w:t>
      </w:r>
    </w:p>
    <w:p>
      <w:r>
        <w:t>20</w:t>
      </w:r>
      <w:r>
        <w:t xml:space="preserve"> of its </w:t>
      </w:r>
      <w:r>
        <w:t>29</w:t>
      </w:r>
      <w:r>
        <w:t xml:space="preserve"> placed sectors sit in the two high-opportunity corners. Economic Opportunity measures how well placed a country is to create value in a sector: exports, related capabilities, investment, costs, demand and technology readiness.</w:t>
      </w:r>
      <w:r>
        <w:rPr>
          <w:color w:val="4B5563"/>
          <w:vertAlign w:val="superscript"/>
        </w:rPr>
        <w:t>1</w:t>
      </w:r>
    </w:p>
    <w:p>
      <w:r>
        <w:t xml:space="preserve">Its highest Economic Opportunity percentiles are in </w:t>
      </w:r>
      <w:r>
        <w:t>upstream gas</w:t>
      </w:r>
      <w:r>
        <w:t xml:space="preserve">, </w:t>
      </w:r>
      <w:r>
        <w:t>upstream oil</w:t>
      </w:r>
      <w:r>
        <w:t xml:space="preserve"> and </w:t>
      </w:r>
      <w:r>
        <w:t>downstream green hydrogen</w:t>
      </w:r>
      <w:r>
        <w:t xml:space="preserve">, higher than </w:t>
      </w:r>
      <w:r>
        <w:t>97%</w:t>
      </w:r>
      <w:r>
        <w:t xml:space="preserve">, </w:t>
      </w:r>
      <w:r>
        <w:t>96%</w:t>
      </w:r>
      <w:r>
        <w:t xml:space="preserve"> and </w:t>
      </w:r>
      <w:r>
        <w:t>91%</w:t>
      </w:r>
      <w:r>
        <w:t xml:space="preserve"> of the other economies scored in each. All sit in the </w:t>
      </w:r>
      <w:r>
        <w:t>Grow</w:t>
      </w:r>
      <w:r>
        <w:t xml:space="preserve"> corner.</w:t>
      </w:r>
      <w:r>
        <w:rPr>
          <w:color w:val="4B5563"/>
          <w:vertAlign w:val="superscript"/>
        </w:rPr>
        <w:t>1</w:t>
      </w:r>
    </w:p>
    <w:p>
      <w:r>
        <w:t xml:space="preserve">In </w:t>
      </w:r>
      <w:r>
        <w:t>upstream gas</w:t>
      </w:r>
      <w:r>
        <w:t xml:space="preserve"> and </w:t>
      </w:r>
      <w:r>
        <w:t>upstream oil</w:t>
      </w:r>
      <w:r>
        <w:t xml:space="preserve">, production and trade push the score up. Norway produced </w:t>
      </w:r>
      <w:r>
        <w:t>4.34 EJ</w:t>
      </w:r>
      <w:r>
        <w:t xml:space="preserve"> of gas and </w:t>
      </w:r>
      <w:r>
        <w:t>2,050 kb/d</w:t>
      </w:r>
      <w:r>
        <w:t xml:space="preserve"> of oil in </w:t>
      </w:r>
      <w:r>
        <w:t>2025</w:t>
      </w:r>
      <w:r>
        <w:t xml:space="preserve">. Its share of world exports of upstream gas goods was </w:t>
      </w:r>
      <w:r>
        <w:t>10.4%</w:t>
      </w:r>
      <w:r>
        <w:t xml:space="preserve"> in </w:t>
      </w:r>
      <w:r>
        <w:t>2023</w:t>
      </w:r>
      <w:r>
        <w:t xml:space="preserve">, and its exports of upstream oil goods were </w:t>
      </w:r>
      <w:r>
        <w:t>USD 54.7 bn</w:t>
      </w:r>
      <w:r>
        <w:t xml:space="preserve"> in </w:t>
      </w:r>
      <w:r>
        <w:t>2024</w:t>
      </w:r>
      <w:r>
        <w:t xml:space="preserve">. In </w:t>
      </w:r>
      <w:r>
        <w:t>downstream green hydrogen</w:t>
      </w:r>
      <w:r>
        <w:t xml:space="preserve">, consumption pushes it up: on expected growth in use per person it scores higher than </w:t>
      </w:r>
      <w:r>
        <w:t>81%</w:t>
      </w:r>
      <w:r>
        <w:t xml:space="preserve"> of the other economies.</w:t>
      </w:r>
      <w:r>
        <w:rPr>
          <w:color w:val="4B5563"/>
          <w:vertAlign w:val="superscript"/>
        </w:rPr>
        <w:t>1,3,5,6</w:t>
      </w:r>
    </w:p>
    <w:p>
      <w:r>
        <w:t xml:space="preserve">For context, its largest markets for </w:t>
      </w:r>
      <w:r>
        <w:t>upstream gas</w:t>
      </w:r>
      <w:r>
        <w:t xml:space="preserve"> in </w:t>
      </w:r>
      <w:r>
        <w:t>2024</w:t>
      </w:r>
      <w:r>
        <w:t xml:space="preserve"> were the </w:t>
      </w:r>
      <w:r>
        <w:t>United Kingdom</w:t>
      </w:r>
      <w:r>
        <w:t xml:space="preserve"> (</w:t>
      </w:r>
      <w:r>
        <w:t>47.5%</w:t>
      </w:r>
      <w:r>
        <w:t xml:space="preserve">) and </w:t>
      </w:r>
      <w:r>
        <w:t>Belgium</w:t>
      </w:r>
      <w:r>
        <w:t xml:space="preserve"> (</w:t>
      </w:r>
      <w:r>
        <w:t>23.3%</w:t>
      </w:r>
      <w:r>
        <w:t>).</w:t>
      </w:r>
      <w:r>
        <w:rPr>
          <w:color w:val="4B5563"/>
          <w:vertAlign w:val="superscript"/>
        </w:rPr>
        <w:t>2</w:t>
      </w:r>
    </w:p>
    <w:p>
      <w:r>
        <w:t xml:space="preserve">The paper's framework associates the Grow corner, high opportunity with high energy security, with building on strength (export promotion in RMI (2025)). In </w:t>
      </w:r>
      <w:r>
        <w:t>downstream geothermal</w:t>
      </w:r>
      <w:r>
        <w:t xml:space="preserve">, a high-priority sector in the </w:t>
      </w:r>
      <w:r>
        <w:t>Upgrade</w:t>
      </w:r>
      <w:r>
        <w:t xml:space="preserve"> corner, its Economic Opportunity is higher than </w:t>
      </w:r>
      <w:r>
        <w:t>86%</w:t>
      </w:r>
      <w:r>
        <w:t xml:space="preserve"> of the other </w:t>
      </w:r>
      <w:r>
        <w:t>102</w:t>
      </w:r>
      <w:r>
        <w:t xml:space="preserve"> economies. The framework associates that corner with building domestic capability (leapfrogging).</w:t>
      </w:r>
      <w:r>
        <w:rPr>
          <w:color w:val="4B5563"/>
          <w:vertAlign w:val="superscript"/>
        </w:rPr>
        <w:t>1</w:t>
      </w:r>
    </w:p>
    <w:p>
      <w:pPr>
        <w:pStyle w:val="Heading1"/>
      </w:pPr>
      <w:r>
        <w:t>3. Sectoral priorities and the existing policy posture</w:t>
      </w:r>
    </w:p>
    <w:p>
      <w:r>
        <w:t xml:space="preserve">The Strategic Index ranks a country's own sectors by how strongly the data point to prioritising them, adding opportunity, security need, existing policy activity, the stage and the technology's low-emission value. On the paper's weighting, it ranks </w:t>
      </w:r>
      <w:r>
        <w:t>downstream batteries</w:t>
      </w:r>
      <w:r>
        <w:t xml:space="preserve"> </w:t>
      </w:r>
      <w:r>
        <w:t>1st</w:t>
      </w:r>
      <w:r>
        <w:t xml:space="preserve"> among Norway's own sectors at </w:t>
      </w:r>
      <w:r>
        <w:t>0.66</w:t>
      </w:r>
      <w:r>
        <w:t xml:space="preserve">, almost tied with </w:t>
      </w:r>
      <w:r>
        <w:t>upstream solar</w:t>
      </w:r>
      <w:r>
        <w:t xml:space="preserve"> (</w:t>
      </w:r>
      <w:r>
        <w:t>0.003</w:t>
      </w:r>
      <w:r>
        <w:t xml:space="preserve"> apart). Policy activity adds </w:t>
      </w:r>
      <w:r>
        <w:t>0.200</w:t>
      </w:r>
      <w:r>
        <w:t xml:space="preserve"> to that score and security need </w:t>
      </w:r>
      <w:r>
        <w:t>0.201</w:t>
      </w:r>
      <w:r>
        <w:t>.</w:t>
      </w:r>
      <w:r>
        <w:rPr>
          <w:color w:val="4B5563"/>
          <w:vertAlign w:val="superscript"/>
        </w:rPr>
        <w:t>1</w:t>
      </w:r>
    </w:p>
    <w:p>
      <w:r>
        <w:t xml:space="preserve">It ranks </w:t>
      </w:r>
      <w:r>
        <w:t>upstream solar</w:t>
      </w:r>
      <w:r>
        <w:t xml:space="preserve"> </w:t>
      </w:r>
      <w:r>
        <w:t>2nd</w:t>
      </w:r>
      <w:r>
        <w:t xml:space="preserve">, almost tied with </w:t>
      </w:r>
      <w:r>
        <w:t>upstream nuclear</w:t>
      </w:r>
      <w:r>
        <w:t xml:space="preserve"> at </w:t>
      </w:r>
      <w:r>
        <w:t>3rd</w:t>
      </w:r>
      <w:r>
        <w:t xml:space="preserve"> (</w:t>
      </w:r>
      <w:r>
        <w:t>0.004</w:t>
      </w:r>
      <w:r>
        <w:t xml:space="preserve"> apart), and </w:t>
      </w:r>
      <w:r>
        <w:t>upstream wind</w:t>
      </w:r>
      <w:r>
        <w:t xml:space="preserve"> </w:t>
      </w:r>
      <w:r>
        <w:t>4th</w:t>
      </w:r>
      <w:r>
        <w:t xml:space="preserve">. Norway's allied pick, its first upstream or midstream sector on the Strategic Index after a resource-base screen, is </w:t>
      </w:r>
      <w:r>
        <w:t>upstream batteries</w:t>
      </w:r>
      <w:r>
        <w:t xml:space="preserve">, ranked </w:t>
      </w:r>
      <w:r>
        <w:t>6th</w:t>
      </w:r>
      <w:r>
        <w:t xml:space="preserve"> and almost tied with </w:t>
      </w:r>
      <w:r>
        <w:t>upstream electric grid</w:t>
      </w:r>
      <w:r>
        <w:t xml:space="preserve"> (</w:t>
      </w:r>
      <w:r>
        <w:t>0.000</w:t>
      </w:r>
      <w:r>
        <w:t xml:space="preserve"> apart). The upstream sectors ranked above it are screened out because no resource base is recorded for them.</w:t>
      </w:r>
      <w:r>
        <w:rPr>
          <w:color w:val="4B5563"/>
          <w:vertAlign w:val="superscript"/>
        </w:rPr>
        <w:t>1,7</w:t>
      </w:r>
    </w:p>
    <w:p>
      <w:r>
        <w:t xml:space="preserve">To compare priorities with policy without counting policy in both, priority is read without the policy term, and both are split into thirds of Norway's sectors. Top priority meets the most policy activity in </w:t>
      </w:r>
      <w:r>
        <w:t>upstream solar, upstream batteries, midstream solar, midstream batteries and downstream solar</w:t>
      </w:r>
      <w:r>
        <w:t>. No top-priority sector falls among those with the least policy, and no bottom-priority sector among those with the most.</w:t>
      </w:r>
      <w:r>
        <w:rPr>
          <w:color w:val="4B5563"/>
          <w:vertAlign w:val="superscript"/>
        </w:rPr>
        <w:t>1</w:t>
      </w:r>
    </w:p>
    <w:p>
      <w:r>
        <w:t xml:space="preserve">The Climate Action Tracker rates Norway </w:t>
      </w:r>
      <w:r>
        <w:t>Almost Sufficient</w:t>
      </w:r>
      <w:r>
        <w:t xml:space="preserve">, as of </w:t>
      </w:r>
      <w:r>
        <w:t>December 2022</w:t>
      </w:r>
      <w:r>
        <w:t xml:space="preserve">. A stronger climate rating raises policy activity for low-emission technologies and lowers it for coal, oil and gas. Norway has </w:t>
      </w:r>
      <w:r>
        <w:t>232</w:t>
      </w:r>
      <w:r>
        <w:t xml:space="preserve"> International Energy Agency Policies and Measures records, of which </w:t>
      </w:r>
      <w:r>
        <w:t>150</w:t>
      </w:r>
      <w:r>
        <w:t xml:space="preserve"> name a technology. For context only, Global Trade Alert records </w:t>
      </w:r>
      <w:r>
        <w:t>80</w:t>
      </w:r>
      <w:r>
        <w:t xml:space="preserve"> active industrial-policy measures for Norway: </w:t>
      </w:r>
      <w:r>
        <w:t>30</w:t>
      </w:r>
      <w:r>
        <w:t xml:space="preserve"> tied to </w:t>
      </w:r>
      <w:r>
        <w:t>upstream electric grid</w:t>
      </w:r>
      <w:r>
        <w:t xml:space="preserve">, </w:t>
      </w:r>
      <w:r>
        <w:t>0</w:t>
      </w:r>
      <w:r>
        <w:t xml:space="preserve"> to the allied pick.</w:t>
      </w:r>
      <w:r>
        <w:rPr>
          <w:color w:val="4B5563"/>
          <w:vertAlign w:val="superscript"/>
        </w:rPr>
        <w:t>8,9,10</w:t>
      </w:r>
    </w:p>
    <w:p>
      <w:pPr>
        <w:pStyle w:val="Heading1"/>
      </w:pPr>
      <w:r>
        <w:t>4. Partnership priorities and why</w:t>
      </w:r>
    </w:p>
    <w:p>
      <w:r>
        <w:t xml:space="preserve">The Partnership Strength Index scores how strong a partner is in energy supply chains: as a reliable supplier (Friendshore), as an export market (Partnership Opportunity) or, for middle- and lower-income partners, through Development Potential. From Norway's viewpoint it rates </w:t>
      </w:r>
      <w:r>
        <w:t>Finland</w:t>
      </w:r>
      <w:r>
        <w:t xml:space="preserve"> highest, as an </w:t>
      </w:r>
      <w:r>
        <w:t>export market</w:t>
      </w:r>
      <w:r>
        <w:t xml:space="preserve">, strongest in </w:t>
      </w:r>
      <w:r>
        <w:t>upstream gas, upstream oil, upstream solar, midstream nuclear and midstream coal</w:t>
      </w:r>
      <w:r>
        <w:t>.</w:t>
      </w:r>
      <w:r>
        <w:rPr>
          <w:color w:val="4B5563"/>
          <w:vertAlign w:val="superscript"/>
        </w:rPr>
        <w:t>1</w:t>
      </w:r>
    </w:p>
    <w:p>
      <w:r>
        <w:t>Germany</w:t>
      </w:r>
      <w:r>
        <w:t xml:space="preserve"> ranks </w:t>
      </w:r>
      <w:r>
        <w:t>2nd</w:t>
      </w:r>
      <w:r>
        <w:t xml:space="preserve">, as an </w:t>
      </w:r>
      <w:r>
        <w:t>export market</w:t>
      </w:r>
      <w:r>
        <w:t xml:space="preserve">; </w:t>
      </w:r>
      <w:r>
        <w:t>Sweden</w:t>
      </w:r>
      <w:r>
        <w:t xml:space="preserve"> ranks </w:t>
      </w:r>
      <w:r>
        <w:t>3rd</w:t>
      </w:r>
      <w:r>
        <w:t xml:space="preserve"> and </w:t>
      </w:r>
      <w:r>
        <w:t>France</w:t>
      </w:r>
      <w:r>
        <w:t xml:space="preserve"> </w:t>
      </w:r>
      <w:r>
        <w:t>4th</w:t>
      </w:r>
      <w:r>
        <w:t xml:space="preserve">, each as a </w:t>
      </w:r>
      <w:r>
        <w:t>reliable supplier</w:t>
      </w:r>
      <w:r>
        <w:t xml:space="preserve">; </w:t>
      </w:r>
      <w:r>
        <w:t>Denmark</w:t>
      </w:r>
      <w:r>
        <w:t xml:space="preserve"> ranks </w:t>
      </w:r>
      <w:r>
        <w:t>5th</w:t>
      </w:r>
      <w:r>
        <w:t xml:space="preserve">, as an </w:t>
      </w:r>
      <w:r>
        <w:t>export market</w:t>
      </w:r>
      <w:r>
        <w:t>.</w:t>
      </w:r>
      <w:r>
        <w:rPr>
          <w:color w:val="4B5563"/>
          <w:vertAlign w:val="superscript"/>
        </w:rPr>
        <w:t>1</w:t>
      </w:r>
    </w:p>
    <w:p>
      <w:r>
        <w:t xml:space="preserve">Today's ties match this ranking in part. By average share across its energy-goods baskets, </w:t>
      </w:r>
      <w:r>
        <w:t>Germany</w:t>
      </w:r>
      <w:r>
        <w:t xml:space="preserve"> is Norway's </w:t>
      </w:r>
      <w:r>
        <w:t>1st</w:t>
      </w:r>
      <w:r>
        <w:t xml:space="preserve"> trade partner, </w:t>
      </w:r>
      <w:r>
        <w:t>Sweden</w:t>
      </w:r>
      <w:r>
        <w:t xml:space="preserve"> its </w:t>
      </w:r>
      <w:r>
        <w:t>4th</w:t>
      </w:r>
      <w:r>
        <w:t xml:space="preserve"> and </w:t>
      </w:r>
      <w:r>
        <w:t>Denmark</w:t>
      </w:r>
      <w:r>
        <w:t xml:space="preserve"> its </w:t>
      </w:r>
      <w:r>
        <w:t>10th</w:t>
      </w:r>
      <w:r>
        <w:t xml:space="preserve">; the index calls each </w:t>
      </w:r>
      <w:r>
        <w:t>a priority partner with strong ties today</w:t>
      </w:r>
      <w:r>
        <w:t xml:space="preserve">. </w:t>
      </w:r>
      <w:r>
        <w:t>Finland</w:t>
      </w:r>
      <w:r>
        <w:t xml:space="preserve"> ranks </w:t>
      </w:r>
      <w:r>
        <w:t>12th</w:t>
      </w:r>
      <w:r>
        <w:t xml:space="preserve"> by trade and </w:t>
      </w:r>
      <w:r>
        <w:t>France</w:t>
      </w:r>
      <w:r>
        <w:t xml:space="preserve"> </w:t>
      </w:r>
      <w:r>
        <w:t>19th</w:t>
      </w:r>
      <w:r>
        <w:t xml:space="preserve">. Norway shares </w:t>
      </w:r>
      <w:r>
        <w:t>NATO and the Minerals Security Partnership</w:t>
      </w:r>
      <w:r>
        <w:t xml:space="preserve"> with </w:t>
      </w:r>
      <w:r>
        <w:t>Finland</w:t>
      </w:r>
      <w:r>
        <w:t xml:space="preserve">, </w:t>
      </w:r>
      <w:r>
        <w:t>Germany</w:t>
      </w:r>
      <w:r>
        <w:t xml:space="preserve">, </w:t>
      </w:r>
      <w:r>
        <w:t>Sweden</w:t>
      </w:r>
      <w:r>
        <w:t xml:space="preserve"> and </w:t>
      </w:r>
      <w:r>
        <w:t>France</w:t>
      </w:r>
      <w:r>
        <w:t xml:space="preserve">, and votes in the </w:t>
      </w:r>
      <w:r>
        <w:t>same bloc</w:t>
      </w:r>
      <w:r>
        <w:t xml:space="preserve"> as each of them at the United Nations.</w:t>
      </w:r>
      <w:r>
        <w:rPr>
          <w:color w:val="4B5563"/>
          <w:vertAlign w:val="superscript"/>
        </w:rPr>
        <w:t>1,2,11,12</w:t>
      </w:r>
    </w:p>
    <w:p>
      <w:r>
        <w:t>China</w:t>
      </w:r>
      <w:r>
        <w:t xml:space="preserve"> is Norway's </w:t>
      </w:r>
      <w:r>
        <w:t>2nd</w:t>
      </w:r>
      <w:r>
        <w:t xml:space="preserve"> trade partner but ranks </w:t>
      </w:r>
      <w:r>
        <w:t>41st</w:t>
      </w:r>
      <w:r>
        <w:t xml:space="preserve"> on Partnership Strength, as a </w:t>
      </w:r>
      <w:r>
        <w:t>development partner</w:t>
      </w:r>
      <w:r>
        <w:t xml:space="preserve">; Norway and </w:t>
      </w:r>
      <w:r>
        <w:t>China</w:t>
      </w:r>
      <w:r>
        <w:t xml:space="preserve"> vote in </w:t>
      </w:r>
      <w:r>
        <w:t>opposite blocs</w:t>
      </w:r>
      <w:r>
        <w:t>.</w:t>
      </w:r>
      <w:r>
        <w:rPr>
          <w:color w:val="4B5563"/>
          <w:vertAlign w:val="superscript"/>
        </w:rPr>
        <w:t>1,2,12</w:t>
      </w:r>
    </w:p>
    <w:p>
      <w:r>
        <w:t xml:space="preserve">As a partner to the coalition, Norway ranks </w:t>
      </w:r>
      <w:r>
        <w:t>19th</w:t>
      </w:r>
      <w:r>
        <w:t xml:space="preserve"> of </w:t>
      </w:r>
      <w:r>
        <w:t>192</w:t>
      </w:r>
      <w:r>
        <w:t xml:space="preserve"> economies, averaged over the core members' viewpoints. In the allied network design, which spreads upstream and midstream production across coalition members, its largest designed shares are </w:t>
      </w:r>
      <w:r>
        <w:t>14.2%</w:t>
      </w:r>
      <w:r>
        <w:t xml:space="preserve"> of </w:t>
      </w:r>
      <w:r>
        <w:t>upstream gas</w:t>
      </w:r>
      <w:r>
        <w:t xml:space="preserve">, </w:t>
      </w:r>
      <w:r>
        <w:t>12.7%</w:t>
      </w:r>
      <w:r>
        <w:t xml:space="preserve"> of </w:t>
      </w:r>
      <w:r>
        <w:t>upstream geothermal</w:t>
      </w:r>
      <w:r>
        <w:t xml:space="preserve"> and </w:t>
      </w:r>
      <w:r>
        <w:t>11.5%</w:t>
      </w:r>
      <w:r>
        <w:t xml:space="preserve"> of </w:t>
      </w:r>
      <w:r>
        <w:t>upstream oil</w:t>
      </w:r>
      <w:r>
        <w:t>.</w:t>
      </w:r>
      <w:r>
        <w:rPr>
          <w:color w:val="4B5563"/>
          <w:vertAlign w:val="superscript"/>
        </w:rPr>
        <w:t>1,7</w:t>
      </w:r>
    </w:p>
    <w:p>
      <w:pPr>
        <w:pStyle w:val="Heading1"/>
      </w:pPr>
      <w:r>
        <w:t>5. Data notes and caveats</w:t>
      </w:r>
    </w:p>
    <w:p>
      <w:r>
        <w:t xml:space="preserve">Values are as of </w:t>
      </w:r>
      <w:r>
        <w:t>12 October 2026</w:t>
      </w:r>
      <w:r>
        <w:t xml:space="preserve">. </w:t>
      </w:r>
      <w:r>
        <w:t>Scores compare Norway with other economies in the same sector; they are not measures of risk or profit in absolute terms.</w:t>
      </w:r>
      <w:r>
        <w:t xml:space="preserve"> </w:t>
      </w:r>
      <w:r>
        <w:t>All index values are the paper's baseline as of 12 October 2026; Strategic Insights recomputes them under other weightings.</w:t>
      </w:r>
      <w:r>
        <w:t xml:space="preserve"> </w:t>
      </w:r>
      <w:r>
        <w:t>Some of Norway's sectors are not placed: a score is compared with other economies only when the economy is sovereign and at most half of the score rests on filled-in data.</w:t>
      </w:r>
      <w:r>
        <w:t xml:space="preserve"> </w:t>
      </w:r>
      <w:r>
        <w:t>Strategic Index scores within 0.01 of each other are almost tied: small changes in the data or the weights can swap their order.</w:t>
      </w:r>
      <w:r>
        <w:t xml:space="preserve"> </w:t>
      </w:r>
      <w:r>
        <w:t>Many allied picks are close calls: in the paper, 37% of them are within 0.01 of the runner-up.</w:t>
      </w:r>
      <w:r>
        <w:t xml:space="preserve"> </w:t>
      </w:r>
      <w:r>
        <w:t>Industrial-policy measures from the Global Trade Alert, New Industrial Policy Observatory, October 2026 extract (as of 5 October 2026) are context only, outside the Policy index.</w:t>
      </w:r>
      <w:r>
        <w:t xml:space="preserve"> Country Insights shows the detail.</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International Energy Agency, Global EV Outlook: electric-vehicle production and sales by region, 2021-2024 (2025); attribution; https://www.iea.org/reports/global-ev-outlook-2025.</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United Nations, UN Comtrade Database, exports to World by reporter, 2024 (2024 data); attribution; https://comtradeplus.un.org/.</w:t>
      </w:r>
    </w:p>
    <w:p>
      <w:pPr>
        <w:pStyle w:val="ListNumber"/>
      </w:pPr>
      <w:r>
        <w:rPr>
          <w:sz w:val="17"/>
        </w:rPr>
        <w:t>Allied network design (the paper's model design of coalition production shares).</w:t>
      </w:r>
    </w:p>
    <w:p>
      <w:pPr>
        <w:pStyle w:val="ListNumber"/>
      </w:pPr>
      <w:r>
        <w:rPr>
          <w:sz w:val="17"/>
        </w:rPr>
        <w:t>Climate Action Tracker, country ratings (ratings updated 2022-2025); attribution; https://climateactiontracker.org/.</w:t>
      </w:r>
    </w:p>
    <w:p>
      <w:pPr>
        <w:pStyle w:val="ListNumber"/>
      </w:pPr>
      <w:r>
        <w:rPr>
          <w:sz w:val="17"/>
        </w:rPr>
        <w:t>International Energy Agency, Policies and Measures Database (export of 2026-09-30); attribution; https://www.iea.org/policies.</w:t>
      </w:r>
    </w:p>
    <w:p>
      <w:pPr>
        <w:pStyle w:val="ListNumber"/>
      </w:pPr>
      <w:r>
        <w:rPr>
          <w:sz w:val="17"/>
        </w:rPr>
        <w:t>Global Trade Alert, New Industrial Policy Observatory: industrial-policy interventions, strength scored by the authors, October 2026 extract (as of 5 October 2026); subscription (titles, dates and links only); https://www.globaltradealert.org/.</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Norway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Norway: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NOR</cp:keywords>
  <dc:description>paper baseline as of 12 October 2026; fact sheet sha256 421a29a5a50af0718e85c600782861f6830a0007330f49e35e07fdec8a9b10e1</dc:description>
  <cp:lastModifiedBy/>
  <cp:revision>1</cp:revision>
  <dcterms:created xsi:type="dcterms:W3CDTF">2013-12-23T23:15:00Z</dcterms:created>
  <dcterms:modified xsi:type="dcterms:W3CDTF">2013-12-23T23:15:00Z</dcterms:modified>
  <cp:category/>
</cp:coreProperties>
</file>