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Zealand: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paper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>18</w:t>
            </w:r>
            <w:r>
              <w:t xml:space="preserve"> of </w:t>
            </w:r>
            <w:r>
              <w:t>New Zealand</w:t>
            </w:r>
            <w:r>
              <w:t xml:space="preserve">'s </w:t>
            </w:r>
            <w:r>
              <w:t>28</w:t>
            </w:r>
            <w:r>
              <w:t xml:space="preserve"> placed sectors sit in the two low-energy-security corners; against other economies, its Energy Security is lowest in </w:t>
            </w:r>
            <w:r>
              <w:t>upstream nuclear</w:t>
            </w:r>
            <w:r>
              <w:t xml:space="preserve">, </w:t>
            </w:r>
            <w:r>
              <w:t>downstream electric vehicles</w:t>
            </w:r>
            <w:r>
              <w:t xml:space="preserve"> and </w:t>
            </w:r>
            <w:r>
              <w:t>upstream green hydrogen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Against other economies, its Economic Opportunity is highest in </w:t>
            </w:r>
            <w:r>
              <w:t>upstream coal</w:t>
            </w:r>
            <w:r>
              <w:t xml:space="preserve">, </w:t>
            </w:r>
            <w:r>
              <w:t>downstream oil</w:t>
            </w:r>
            <w:r>
              <w:t xml:space="preserve">, </w:t>
            </w:r>
            <w:r>
              <w:t>downstream solar</w:t>
            </w:r>
            <w:r>
              <w:t xml:space="preserve"> and </w:t>
            </w:r>
            <w:r>
              <w:t>downstream wind</w:t>
            </w:r>
            <w:r>
              <w:t xml:space="preserve">, the </w:t>
            </w:r>
            <w:r>
              <w:t>4</w:t>
            </w:r>
            <w:r>
              <w:t xml:space="preserve"> sectors in the two high-opportunity corners.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The Strategic Index ranks </w:t>
            </w:r>
            <w:r>
              <w:t>downstream batteries</w:t>
            </w:r>
            <w:r>
              <w:t xml:space="preserve"> </w:t>
            </w:r>
            <w:r>
              <w:t>1st</w:t>
            </w:r>
            <w:r>
              <w:t xml:space="preserve"> among </w:t>
            </w:r>
            <w:r>
              <w:t>New Zealand</w:t>
            </w:r>
            <w:r>
              <w:t xml:space="preserve">'s own sectors. When data-based priority is set against policy activity, </w:t>
            </w:r>
            <w:r>
              <w:t>upstream nuclear, upstream green hydrogen, upstream wind and upstream electric grid</w:t>
            </w:r>
            <w:r>
              <w:t xml:space="preserve"> combine </w:t>
            </w:r>
            <w:r>
              <w:t>top priority with the least policy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The Partnership Strength Index rates the </w:t>
            </w:r>
            <w:r>
              <w:t>United States</w:t>
            </w:r>
            <w:r>
              <w:t xml:space="preserve"> highest for </w:t>
            </w:r>
            <w:r>
              <w:t>New Zealand</w:t>
            </w:r>
            <w:r>
              <w:t xml:space="preserve">, as a </w:t>
            </w:r>
            <w:r>
              <w:t>reliable supplier</w:t>
            </w:r>
            <w:r>
              <w:t xml:space="preserve">. Today's trade broadly matches, but </w:t>
            </w:r>
            <w:r>
              <w:t>China</w:t>
            </w:r>
            <w:r>
              <w:t xml:space="preserve">, its </w:t>
            </w:r>
            <w:r>
              <w:t>2nd</w:t>
            </w:r>
            <w:r>
              <w:t xml:space="preserve"> trade partner, ranks </w:t>
            </w:r>
            <w:r>
              <w:t>33rd</w:t>
            </w:r>
            <w:r>
              <w:t xml:space="preserve"> on Partnership Strength.</w:t>
            </w:r>
            <w:r>
              <w:rPr>
                <w:color w:val="4B5563"/>
                <w:vertAlign w:val="superscript"/>
              </w:rPr>
              <w:t>1,2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 xml:space="preserve">Low energy security is the common pattern in </w:t>
      </w:r>
      <w:r>
        <w:t>New Zealand</w:t>
      </w:r>
      <w:r>
        <w:t xml:space="preserve">'s supply chains: </w:t>
      </w:r>
      <w:r>
        <w:t>18</w:t>
      </w:r>
      <w:r>
        <w:t xml:space="preserve"> of its </w:t>
      </w:r>
      <w:r>
        <w:t>28</w:t>
      </w:r>
      <w:r>
        <w:t xml:space="preserve"> placed sectors sit in the two low-energy-security corners. Energy Security measures how well a country can rely on what it needs in a sector, from own production and reserves to import needs; higher means more secure.</w:t>
      </w:r>
      <w:r>
        <w:rPr>
          <w:color w:val="4B5563"/>
          <w:vertAlign w:val="superscript"/>
        </w:rPr>
        <w:t>1</w:t>
      </w:r>
    </w:p>
    <w:p>
      <w:r>
        <w:t xml:space="preserve">Against other economies in the same sector, its Energy Security is lowest in </w:t>
      </w:r>
      <w:r>
        <w:t>upstream nuclear</w:t>
      </w:r>
      <w:r>
        <w:t xml:space="preserve">, </w:t>
      </w:r>
      <w:r>
        <w:t>downstream electric vehicles</w:t>
      </w:r>
      <w:r>
        <w:t xml:space="preserve"> and </w:t>
      </w:r>
      <w:r>
        <w:t>upstream green hydrogen</w:t>
      </w:r>
      <w:r>
        <w:t xml:space="preserve">. In </w:t>
      </w:r>
      <w:r>
        <w:t>upstream nuclear</w:t>
      </w:r>
      <w:r>
        <w:t xml:space="preserve"> it scores </w:t>
      </w:r>
      <w:r>
        <w:t>0.16</w:t>
      </w:r>
      <w:r>
        <w:t xml:space="preserve">, higher than only </w:t>
      </w:r>
      <w:r>
        <w:t>9%</w:t>
      </w:r>
      <w:r>
        <w:t xml:space="preserve"> of the other </w:t>
      </w:r>
      <w:r>
        <w:t>174</w:t>
      </w:r>
      <w:r>
        <w:t xml:space="preserve"> economies scored in that sector. It scores </w:t>
      </w:r>
      <w:r>
        <w:t>0.29</w:t>
      </w:r>
      <w:r>
        <w:t xml:space="preserve"> in </w:t>
      </w:r>
      <w:r>
        <w:t>downstream electric vehicles</w:t>
      </w:r>
      <w:r>
        <w:t xml:space="preserve"> and </w:t>
      </w:r>
      <w:r>
        <w:t>0.18</w:t>
      </w:r>
      <w:r>
        <w:t xml:space="preserve"> in </w:t>
      </w:r>
      <w:r>
        <w:t>upstream green hydrogen</w:t>
      </w:r>
      <w:r>
        <w:t xml:space="preserve">, higher than </w:t>
      </w:r>
      <w:r>
        <w:t>14%</w:t>
      </w:r>
      <w:r>
        <w:t xml:space="preserve"> and </w:t>
      </w:r>
      <w:r>
        <w:t>20%</w:t>
      </w:r>
      <w:r>
        <w:t xml:space="preserve"> of the other economies scored. Each of these sits in the </w:t>
      </w:r>
      <w:r>
        <w:t>Secure</w:t>
      </w:r>
      <w:r>
        <w:t xml:space="preserve"> corner, which pairs low energy security with low opportunity.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upstream nuclear</w:t>
      </w:r>
      <w:r>
        <w:t xml:space="preserve">, the score is low mainly because of its trade position: its share of world exports of these goods was </w:t>
      </w:r>
      <w:r>
        <w:t>0.0%</w:t>
      </w:r>
      <w:r>
        <w:t xml:space="preserve"> in </w:t>
      </w:r>
      <w:r>
        <w:t>2023</w:t>
      </w:r>
      <w:r>
        <w:t>.</w:t>
      </w:r>
      <w:r>
        <w:rPr>
          <w:color w:val="4B5563"/>
          <w:vertAlign w:val="superscript"/>
        </w:rPr>
        <w:t>3</w:t>
      </w:r>
    </w:p>
    <w:p>
      <w:r>
        <w:t>New Zealand</w:t>
      </w:r>
      <w:r>
        <w:t xml:space="preserve">'s high-priority sector in Country Insights is its only sector in the </w:t>
      </w:r>
      <w:r>
        <w:t>Upgrade</w:t>
      </w:r>
      <w:r>
        <w:t xml:space="preserve"> corner, high in opportunity but low in energy security: </w:t>
      </w:r>
      <w:r>
        <w:t>downstream solar</w:t>
      </w:r>
      <w:r>
        <w:t xml:space="preserve">. It scores </w:t>
      </w:r>
      <w:r>
        <w:t>0.47</w:t>
      </w:r>
      <w:r>
        <w:t xml:space="preserve"> on Energy Security, higher than </w:t>
      </w:r>
      <w:r>
        <w:t>38%</w:t>
      </w:r>
      <w:r>
        <w:t xml:space="preserve"> of the other </w:t>
      </w:r>
      <w:r>
        <w:t>147</w:t>
      </w:r>
      <w:r>
        <w:t xml:space="preserve"> economies scored. Its score is held down mainly by consumption and reserves: on expected growth in use per person it scores higher than only </w:t>
      </w:r>
      <w:r>
        <w:t>7%</w:t>
      </w:r>
      <w:r>
        <w:t xml:space="preserve"> of the other economies, and on solar resource potential higher than </w:t>
      </w:r>
      <w:r>
        <w:t>36%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Among its placed sectors, </w:t>
      </w:r>
      <w:r>
        <w:t>midstream wind</w:t>
      </w:r>
      <w:r>
        <w:t xml:space="preserve"> has the </w:t>
      </w:r>
      <w:r>
        <w:t>4th lowest</w:t>
      </w:r>
      <w:r>
        <w:t xml:space="preserve"> Energy Security against other economies, with a score of </w:t>
      </w:r>
      <w:r>
        <w:t>0.38</w:t>
      </w:r>
      <w:r>
        <w:t xml:space="preserve">. For context, its largest suppliers in </w:t>
      </w:r>
      <w:r>
        <w:t>2024</w:t>
      </w:r>
      <w:r>
        <w:t xml:space="preserve"> were </w:t>
      </w:r>
      <w:r>
        <w:t>China</w:t>
      </w:r>
      <w:r>
        <w:t xml:space="preserve"> (</w:t>
      </w:r>
      <w:r>
        <w:t>29.1%</w:t>
      </w:r>
      <w:r>
        <w:t xml:space="preserve"> of its imports), </w:t>
      </w:r>
      <w:r>
        <w:t>Australia</w:t>
      </w:r>
      <w:r>
        <w:t xml:space="preserve"> (</w:t>
      </w:r>
      <w:r>
        <w:t>17.6%</w:t>
      </w:r>
      <w:r>
        <w:t xml:space="preserve">) and the </w:t>
      </w:r>
      <w:r>
        <w:t>United States</w:t>
      </w:r>
      <w:r>
        <w:t xml:space="preserve"> (</w:t>
      </w:r>
      <w:r>
        <w:t>12.3%</w:t>
      </w:r>
      <w:r>
        <w:t>).</w:t>
      </w:r>
      <w:r>
        <w:rPr>
          <w:color w:val="4B5563"/>
          <w:vertAlign w:val="superscript"/>
        </w:rPr>
        <w:t>1,2</w:t>
      </w:r>
    </w:p>
    <w:p>
      <w:pPr>
        <w:pStyle w:val="Heading1"/>
      </w:pPr>
      <w:r>
        <w:t>2. Economic opportunities and why</w:t>
      </w:r>
    </w:p>
    <w:p>
      <w:r>
        <w:t xml:space="preserve">Openings are narrower than exposures: </w:t>
      </w:r>
      <w:r>
        <w:t>4</w:t>
      </w:r>
      <w:r>
        <w:t xml:space="preserve"> of </w:t>
      </w:r>
      <w:r>
        <w:t>New Zealand</w:t>
      </w:r>
      <w:r>
        <w:t>'s placed sectors sit in the two high-opportunity corners. Economic Opportunity measures how well placed a country is to create value in a sector, from exports and market share to investment, costs, demand and related capabilities.</w:t>
      </w:r>
      <w:r>
        <w:rPr>
          <w:color w:val="4B5563"/>
          <w:vertAlign w:val="superscript"/>
        </w:rPr>
        <w:t>1</w:t>
      </w:r>
    </w:p>
    <w:p>
      <w:r>
        <w:t xml:space="preserve">Against other economies in the same sector, its Economic Opportunity is highest in </w:t>
      </w:r>
      <w:r>
        <w:t>upstream coal</w:t>
      </w:r>
      <w:r>
        <w:t xml:space="preserve"> (</w:t>
      </w:r>
      <w:r>
        <w:t>Grow</w:t>
      </w:r>
      <w:r>
        <w:t xml:space="preserve"> corner), </w:t>
      </w:r>
      <w:r>
        <w:t>downstream oil</w:t>
      </w:r>
      <w:r>
        <w:t xml:space="preserve"> (</w:t>
      </w:r>
      <w:r>
        <w:t>Grow</w:t>
      </w:r>
      <w:r>
        <w:t xml:space="preserve">), </w:t>
      </w:r>
      <w:r>
        <w:t>downstream solar</w:t>
      </w:r>
      <w:r>
        <w:t xml:space="preserve"> (</w:t>
      </w:r>
      <w:r>
        <w:t>Upgrade</w:t>
      </w:r>
      <w:r>
        <w:t xml:space="preserve">) and </w:t>
      </w:r>
      <w:r>
        <w:t>downstream wind</w:t>
      </w:r>
      <w:r>
        <w:t xml:space="preserve"> (</w:t>
      </w:r>
      <w:r>
        <w:t>Grow</w:t>
      </w:r>
      <w:r>
        <w:t xml:space="preserve">). These scores are higher than </w:t>
      </w:r>
      <w:r>
        <w:t>59%</w:t>
      </w:r>
      <w:r>
        <w:t xml:space="preserve">, </w:t>
      </w:r>
      <w:r>
        <w:t>54%</w:t>
      </w:r>
      <w:r>
        <w:t xml:space="preserve">, </w:t>
      </w:r>
      <w:r>
        <w:t>51%</w:t>
      </w:r>
      <w:r>
        <w:t xml:space="preserve"> and </w:t>
      </w:r>
      <w:r>
        <w:t>50%</w:t>
      </w:r>
      <w:r>
        <w:t xml:space="preserve"> of the other economies scored in each sector.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upstream coal</w:t>
      </w:r>
      <w:r>
        <w:t xml:space="preserve">, production and trade push the score up. Production was </w:t>
      </w:r>
      <w:r>
        <w:t>0.066 EJ</w:t>
      </w:r>
      <w:r>
        <w:t xml:space="preserve"> in </w:t>
      </w:r>
      <w:r>
        <w:t>2025</w:t>
      </w:r>
      <w:r>
        <w:t xml:space="preserve">, and its share of world exports was </w:t>
      </w:r>
      <w:r>
        <w:t>0.1%</w:t>
      </w:r>
      <w:r>
        <w:t xml:space="preserve"> in </w:t>
      </w:r>
      <w:r>
        <w:t>2023</w:t>
      </w:r>
      <w:r>
        <w:t xml:space="preserve">. For context, its largest export markets in </w:t>
      </w:r>
      <w:r>
        <w:t>2024</w:t>
      </w:r>
      <w:r>
        <w:t xml:space="preserve"> were </w:t>
      </w:r>
      <w:r>
        <w:t>Japan</w:t>
      </w:r>
      <w:r>
        <w:t xml:space="preserve"> (</w:t>
      </w:r>
      <w:r>
        <w:t>31.9%</w:t>
      </w:r>
      <w:r>
        <w:t xml:space="preserve">), </w:t>
      </w:r>
      <w:r>
        <w:t>South Korea</w:t>
      </w:r>
      <w:r>
        <w:t xml:space="preserve"> (</w:t>
      </w:r>
      <w:r>
        <w:t>22.5%</w:t>
      </w:r>
      <w:r>
        <w:t xml:space="preserve">) and </w:t>
      </w:r>
      <w:r>
        <w:t>India</w:t>
      </w:r>
      <w:r>
        <w:t xml:space="preserve"> (</w:t>
      </w:r>
      <w:r>
        <w:t>21.0%</w:t>
      </w:r>
      <w:r>
        <w:t>).</w:t>
      </w:r>
      <w:r>
        <w:rPr>
          <w:color w:val="4B5563"/>
          <w:vertAlign w:val="superscript"/>
        </w:rPr>
        <w:t>2,3,4</w:t>
      </w:r>
    </w:p>
    <w:p>
      <w:r>
        <w:t xml:space="preserve">In </w:t>
      </w:r>
      <w:r>
        <w:t>downstream oil</w:t>
      </w:r>
      <w:r>
        <w:t xml:space="preserve">, consumption and energy access push the score up: on energy access, its oil consumption was </w:t>
      </w:r>
      <w:r>
        <w:t>61.6 GJ per person</w:t>
      </w:r>
      <w:r>
        <w:t xml:space="preserve"> in </w:t>
      </w:r>
      <w:r>
        <w:t>2025</w:t>
      </w:r>
      <w:r>
        <w:t xml:space="preserve">, higher than </w:t>
      </w:r>
      <w:r>
        <w:t>84%</w:t>
      </w:r>
      <w:r>
        <w:t xml:space="preserve"> of the other economies.</w:t>
      </w:r>
      <w:r>
        <w:rPr>
          <w:color w:val="4B5563"/>
          <w:vertAlign w:val="superscript"/>
        </w:rPr>
        <w:t>1,4</w:t>
      </w:r>
    </w:p>
    <w:p>
      <w:r>
        <w:t xml:space="preserve">In </w:t>
      </w:r>
      <w:r>
        <w:t>downstream solar</w:t>
      </w:r>
      <w:r>
        <w:t xml:space="preserve">, investment and energy access push the score up: on growth in investment it scores higher than </w:t>
      </w:r>
      <w:r>
        <w:t>73%</w:t>
      </w:r>
      <w:r>
        <w:t xml:space="preserve"> of the other economies. This sector pairs that opening with low energy security. The paper's framework associates the Upgrade corner with building domestic capability, a posture RMI (2025) calls leapfrogging.</w:t>
      </w:r>
      <w:r>
        <w:rPr>
          <w:color w:val="4B5563"/>
          <w:vertAlign w:val="superscript"/>
        </w:rPr>
        <w:t>1</w:t>
      </w:r>
    </w:p>
    <w:p>
      <w:pPr>
        <w:pStyle w:val="Heading1"/>
      </w:pPr>
      <w:r>
        <w:t>3. Sectoral priorities and the existing policy posture</w:t>
      </w:r>
    </w:p>
    <w:p>
      <w:r>
        <w:t xml:space="preserve">The Strategic Index ranks a country's own sectors by opportunity, security need, policy activity, stage and low-emission value. Among </w:t>
      </w:r>
      <w:r>
        <w:t>New Zealand</w:t>
      </w:r>
      <w:r>
        <w:t xml:space="preserve">'s own sectors, it ranks </w:t>
      </w:r>
      <w:r>
        <w:t>downstream batteries</w:t>
      </w:r>
      <w:r>
        <w:t xml:space="preserve"> </w:t>
      </w:r>
      <w:r>
        <w:t>1st</w:t>
      </w:r>
      <w:r>
        <w:t xml:space="preserve"> (</w:t>
      </w:r>
      <w:r>
        <w:t>0.65</w:t>
      </w:r>
      <w:r>
        <w:t xml:space="preserve">), </w:t>
      </w:r>
      <w:r>
        <w:t>upstream batteries</w:t>
      </w:r>
      <w:r>
        <w:t xml:space="preserve"> </w:t>
      </w:r>
      <w:r>
        <w:t>2nd</w:t>
      </w:r>
      <w:r>
        <w:t xml:space="preserve"> and </w:t>
      </w:r>
      <w:r>
        <w:t>upstream solar</w:t>
      </w:r>
      <w:r>
        <w:t xml:space="preserve"> </w:t>
      </w:r>
      <w:r>
        <w:t>3rd</w:t>
      </w:r>
      <w:r>
        <w:t xml:space="preserve">, almost tied with </w:t>
      </w:r>
      <w:r>
        <w:t>upstream batteries</w:t>
      </w:r>
      <w:r>
        <w:t xml:space="preserve"> (</w:t>
      </w:r>
      <w:r>
        <w:t>0.003</w:t>
      </w:r>
      <w:r>
        <w:t xml:space="preserve"> apart). Next come </w:t>
      </w:r>
      <w:r>
        <w:t>downstream green hydrogen</w:t>
      </w:r>
      <w:r>
        <w:t xml:space="preserve"> (</w:t>
      </w:r>
      <w:r>
        <w:t>4th</w:t>
      </w:r>
      <w:r>
        <w:t xml:space="preserve">) and </w:t>
      </w:r>
      <w:r>
        <w:t>upstream nuclear</w:t>
      </w:r>
      <w:r>
        <w:t xml:space="preserve"> (</w:t>
      </w:r>
      <w:r>
        <w:t>5th</w:t>
      </w:r>
      <w:r>
        <w:t>), each almost tied with the sector below it (</w:t>
      </w:r>
      <w:r>
        <w:t>0.004</w:t>
      </w:r>
      <w:r>
        <w:t xml:space="preserve"> and </w:t>
      </w:r>
      <w:r>
        <w:t>0.006</w:t>
      </w:r>
      <w:r>
        <w:t xml:space="preserve"> apart).</w:t>
      </w:r>
      <w:r>
        <w:rPr>
          <w:color w:val="4B5563"/>
          <w:vertAlign w:val="superscript"/>
        </w:rPr>
        <w:t>1</w:t>
      </w:r>
    </w:p>
    <w:p>
      <w:r>
        <w:t xml:space="preserve">The lead of </w:t>
      </w:r>
      <w:r>
        <w:t>downstream batteries</w:t>
      </w:r>
      <w:r>
        <w:t xml:space="preserve"> reflects its policy term of </w:t>
      </w:r>
      <w:r>
        <w:t>0.200</w:t>
      </w:r>
      <w:r>
        <w:t xml:space="preserve">, the full weight of that term, against </w:t>
      </w:r>
      <w:r>
        <w:t>0.109</w:t>
      </w:r>
      <w:r>
        <w:t xml:space="preserve"> for </w:t>
      </w:r>
      <w:r>
        <w:t>upstream batteries</w:t>
      </w:r>
      <w:r>
        <w:t>.</w:t>
      </w:r>
      <w:r>
        <w:rPr>
          <w:color w:val="4B5563"/>
          <w:vertAlign w:val="superscript"/>
        </w:rPr>
        <w:t>1</w:t>
      </w:r>
    </w:p>
    <w:p>
      <w:r>
        <w:t>New Zealand</w:t>
      </w:r>
      <w:r>
        <w:t xml:space="preserve">'s allied pick in the network design is </w:t>
      </w:r>
      <w:r>
        <w:t>midstream solar</w:t>
      </w:r>
      <w:r>
        <w:t xml:space="preserve"> (</w:t>
      </w:r>
      <w:r>
        <w:t>0.59</w:t>
      </w:r>
      <w:r>
        <w:t xml:space="preserve">), ranked </w:t>
      </w:r>
      <w:r>
        <w:t>8th</w:t>
      </w:r>
      <w:r>
        <w:t xml:space="preserve">, with </w:t>
      </w:r>
      <w:r>
        <w:t>midstream electric grid</w:t>
      </w:r>
      <w:r>
        <w:t xml:space="preserve"> as runner-up. The pick is </w:t>
      </w:r>
      <w:r>
        <w:t>New Zealand</w:t>
      </w:r>
      <w:r>
        <w:t>'s first upstream or midstream sector on the Strategic Index after a resource-base screen. The upstream sectors ranked above it are screened out because no resource base is recorded for them.</w:t>
      </w:r>
      <w:r>
        <w:rPr>
          <w:color w:val="4B5563"/>
          <w:vertAlign w:val="superscript"/>
        </w:rPr>
        <w:t>1,5</w:t>
      </w:r>
    </w:p>
    <w:p>
      <w:r>
        <w:t xml:space="preserve">Country Insights splits the sectors into thirds by data-based priority (the Strategic Index without its policy term) and again by policy activity. On that comparison, </w:t>
      </w:r>
      <w:r>
        <w:t>upstream nuclear, upstream green hydrogen, upstream wind and upstream electric grid</w:t>
      </w:r>
      <w:r>
        <w:t xml:space="preserve"> combine </w:t>
      </w:r>
      <w:r>
        <w:t>top priority with the least policy</w:t>
      </w:r>
      <w:r>
        <w:t xml:space="preserve">. At the other end, </w:t>
      </w:r>
      <w:r>
        <w:t>downstream gas, downstream electric vehicles, downstream coal and downstream oil</w:t>
      </w:r>
      <w:r>
        <w:t xml:space="preserve"> combine </w:t>
      </w:r>
      <w:r>
        <w:t>bottom priority with the most policy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The Climate Action Tracker rates </w:t>
      </w:r>
      <w:r>
        <w:t>New Zealand</w:t>
      </w:r>
      <w:r>
        <w:t xml:space="preserve"> "</w:t>
      </w:r>
      <w:r>
        <w:t>Highly insufficient</w:t>
      </w:r>
      <w:r>
        <w:t>" (</w:t>
      </w:r>
      <w:r>
        <w:t>March 2023</w:t>
      </w:r>
      <w:r>
        <w:t xml:space="preserve">). </w:t>
      </w:r>
      <w:r>
        <w:t>New Zealand</w:t>
      </w:r>
      <w:r>
        <w:t xml:space="preserve"> has </w:t>
      </w:r>
      <w:r>
        <w:t>159</w:t>
      </w:r>
      <w:r>
        <w:t xml:space="preserve"> International Energy Agency Policies and Measures records, </w:t>
      </w:r>
      <w:r>
        <w:t>81</w:t>
      </w:r>
      <w:r>
        <w:t xml:space="preserve"> of which name a technology. For context, </w:t>
      </w:r>
      <w:r>
        <w:t>16</w:t>
      </w:r>
      <w:r>
        <w:t xml:space="preserve"> records name </w:t>
      </w:r>
      <w:r>
        <w:t>downstream batteries</w:t>
      </w:r>
      <w:r>
        <w:t xml:space="preserve"> specifically, against </w:t>
      </w:r>
      <w:r>
        <w:t>1</w:t>
      </w:r>
      <w:r>
        <w:t xml:space="preserve"> for </w:t>
      </w:r>
      <w:r>
        <w:t>upstream nuclear</w:t>
      </w:r>
      <w:r>
        <w:t>.</w:t>
      </w:r>
      <w:r>
        <w:rPr>
          <w:color w:val="4B5563"/>
          <w:vertAlign w:val="superscript"/>
        </w:rPr>
        <w:t>6,7</w:t>
      </w:r>
    </w:p>
    <w:p>
      <w:r>
        <w:t xml:space="preserve">Also for context, Global Trade Alert lists </w:t>
      </w:r>
      <w:r>
        <w:t>46</w:t>
      </w:r>
      <w:r>
        <w:t xml:space="preserve"> active industrial-policy measures for </w:t>
      </w:r>
      <w:r>
        <w:t>New Zealand</w:t>
      </w:r>
      <w:r>
        <w:t xml:space="preserve">, </w:t>
      </w:r>
      <w:r>
        <w:t>11</w:t>
      </w:r>
      <w:r>
        <w:t xml:space="preserve"> of them tied to </w:t>
      </w:r>
      <w:r>
        <w:t>midstream solar</w:t>
      </w:r>
      <w:r>
        <w:t>, the allied pick.</w:t>
      </w:r>
      <w:r>
        <w:rPr>
          <w:color w:val="4B5563"/>
          <w:vertAlign w:val="superscript"/>
        </w:rPr>
        <w:t>8</w:t>
      </w:r>
    </w:p>
    <w:p>
      <w:pPr>
        <w:pStyle w:val="Heading1"/>
      </w:pPr>
      <w:r>
        <w:t>4. Partnership priorities and why</w:t>
      </w:r>
    </w:p>
    <w:p>
      <w:r>
        <w:t xml:space="preserve">The Partnership Strength Index scores partners in energy supply chains as reliable suppliers (Friendshore), export markets (Partnership Opportunity) and development partners (Development Potential). It rates the </w:t>
      </w:r>
      <w:r>
        <w:t>United States</w:t>
      </w:r>
      <w:r>
        <w:t xml:space="preserve"> highest for </w:t>
      </w:r>
      <w:r>
        <w:t>New Zealand</w:t>
      </w:r>
      <w:r>
        <w:t xml:space="preserve"> (</w:t>
      </w:r>
      <w:r>
        <w:t>0.89</w:t>
      </w:r>
      <w:r>
        <w:t xml:space="preserve">), as a </w:t>
      </w:r>
      <w:r>
        <w:t>reliable supplier</w:t>
      </w:r>
      <w:r>
        <w:t xml:space="preserve">, strongest in </w:t>
      </w:r>
      <w:r>
        <w:t>midstream batteries, upstream oil, upstream wind, downstream gas and midstream electric vehicles</w:t>
      </w:r>
      <w:r>
        <w:t>.</w:t>
      </w:r>
      <w:r>
        <w:rPr>
          <w:color w:val="4B5563"/>
          <w:vertAlign w:val="superscript"/>
        </w:rPr>
        <w:t>1</w:t>
      </w:r>
    </w:p>
    <w:p>
      <w:r>
        <w:t>Australia</w:t>
      </w:r>
      <w:r>
        <w:t xml:space="preserve"> ranks </w:t>
      </w:r>
      <w:r>
        <w:t>2nd</w:t>
      </w:r>
      <w:r>
        <w:t xml:space="preserve"> (</w:t>
      </w:r>
      <w:r>
        <w:t>0.89</w:t>
      </w:r>
      <w:r>
        <w:t xml:space="preserve">), scoring best as an </w:t>
      </w:r>
      <w:r>
        <w:t>export market</w:t>
      </w:r>
      <w:r>
        <w:t xml:space="preserve">, especially in </w:t>
      </w:r>
      <w:r>
        <w:t>midstream solar, midstream wind, midstream electric vehicles, midstream nuclear and upstream electric vehicles</w:t>
      </w:r>
      <w:r>
        <w:t xml:space="preserve">. </w:t>
      </w:r>
      <w:r>
        <w:t>South Korea</w:t>
      </w:r>
      <w:r>
        <w:t xml:space="preserve"> (</w:t>
      </w:r>
      <w:r>
        <w:t>3rd</w:t>
      </w:r>
      <w:r>
        <w:t xml:space="preserve">), </w:t>
      </w:r>
      <w:r>
        <w:t>Japan</w:t>
      </w:r>
      <w:r>
        <w:t xml:space="preserve"> (</w:t>
      </w:r>
      <w:r>
        <w:t>4th</w:t>
      </w:r>
      <w:r>
        <w:t xml:space="preserve">) and </w:t>
      </w:r>
      <w:r>
        <w:t>Canada</w:t>
      </w:r>
      <w:r>
        <w:t xml:space="preserve"> (</w:t>
      </w:r>
      <w:r>
        <w:t>5th</w:t>
      </w:r>
      <w:r>
        <w:t xml:space="preserve">) follow, each scoring best as a </w:t>
      </w:r>
      <w:r>
        <w:t>reliable supplier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Today's trade broadly matches these ratings. On average across its energy-goods baskets, </w:t>
      </w:r>
      <w:r>
        <w:t>Australia</w:t>
      </w:r>
      <w:r>
        <w:t xml:space="preserve"> is </w:t>
      </w:r>
      <w:r>
        <w:t>New Zealand</w:t>
      </w:r>
      <w:r>
        <w:t xml:space="preserve">'s </w:t>
      </w:r>
      <w:r>
        <w:t>1st</w:t>
      </w:r>
      <w:r>
        <w:t xml:space="preserve"> trade partner, the </w:t>
      </w:r>
      <w:r>
        <w:t>United States</w:t>
      </w:r>
      <w:r>
        <w:t xml:space="preserve"> its </w:t>
      </w:r>
      <w:r>
        <w:t>3rd</w:t>
      </w:r>
      <w:r>
        <w:t xml:space="preserve">, </w:t>
      </w:r>
      <w:r>
        <w:t>Japan</w:t>
      </w:r>
      <w:r>
        <w:t xml:space="preserve"> its </w:t>
      </w:r>
      <w:r>
        <w:t>4th</w:t>
      </w:r>
      <w:r>
        <w:t xml:space="preserve"> and </w:t>
      </w:r>
      <w:r>
        <w:t>South Korea</w:t>
      </w:r>
      <w:r>
        <w:t xml:space="preserve"> its </w:t>
      </w:r>
      <w:r>
        <w:t>5th</w:t>
      </w:r>
      <w:r>
        <w:t xml:space="preserve">. </w:t>
      </w:r>
      <w:r>
        <w:t>Canada</w:t>
      </w:r>
      <w:r>
        <w:t xml:space="preserve"> is the exception, its </w:t>
      </w:r>
      <w:r>
        <w:t>16th</w:t>
      </w:r>
      <w:r>
        <w:t xml:space="preserve"> trade partner. All of them vote in the </w:t>
      </w:r>
      <w:r>
        <w:t>same bloc</w:t>
      </w:r>
      <w:r>
        <w:t xml:space="preserve"> as </w:t>
      </w:r>
      <w:r>
        <w:t>New Zealand</w:t>
      </w:r>
      <w:r>
        <w:t xml:space="preserve"> at the UN, and the </w:t>
      </w:r>
      <w:r>
        <w:t>United States</w:t>
      </w:r>
      <w:r>
        <w:t xml:space="preserve">, </w:t>
      </w:r>
      <w:r>
        <w:t>Australia</w:t>
      </w:r>
      <w:r>
        <w:t xml:space="preserve">, </w:t>
      </w:r>
      <w:r>
        <w:t>South Korea</w:t>
      </w:r>
      <w:r>
        <w:t xml:space="preserve"> and </w:t>
      </w:r>
      <w:r>
        <w:t>Japan</w:t>
      </w:r>
      <w:r>
        <w:t xml:space="preserve"> also share </w:t>
      </w:r>
      <w:r>
        <w:t>the Indo-Pacific Economic Framework</w:t>
      </w:r>
      <w:r>
        <w:t xml:space="preserve"> with it.</w:t>
      </w:r>
      <w:r>
        <w:rPr>
          <w:color w:val="4B5563"/>
          <w:vertAlign w:val="superscript"/>
        </w:rPr>
        <w:t>1,2,9,10</w:t>
      </w:r>
    </w:p>
    <w:p>
      <w:r>
        <w:t xml:space="preserve">The reverse case is </w:t>
      </w:r>
      <w:r>
        <w:t>China</w:t>
      </w:r>
      <w:r>
        <w:t xml:space="preserve">: </w:t>
      </w:r>
      <w:r>
        <w:t>New Zealand</w:t>
      </w:r>
      <w:r>
        <w:t xml:space="preserve">'s </w:t>
      </w:r>
      <w:r>
        <w:t>2nd</w:t>
      </w:r>
      <w:r>
        <w:t xml:space="preserve"> trade partner, with </w:t>
      </w:r>
      <w:r>
        <w:t>21.5%</w:t>
      </w:r>
      <w:r>
        <w:t xml:space="preserve"> of its imports on average, but </w:t>
      </w:r>
      <w:r>
        <w:t>33rd</w:t>
      </w:r>
      <w:r>
        <w:t xml:space="preserve"> on Partnership Strength, </w:t>
      </w:r>
      <w:r>
        <w:t>a strong tie today that the index ranks lower</w:t>
      </w:r>
      <w:r>
        <w:t xml:space="preserve">. In UN votes they sit in </w:t>
      </w:r>
      <w:r>
        <w:t>opposite blocs</w:t>
      </w:r>
      <w:r>
        <w:t>.</w:t>
      </w:r>
      <w:r>
        <w:rPr>
          <w:color w:val="4B5563"/>
          <w:vertAlign w:val="superscript"/>
        </w:rPr>
        <w:t>1,2,9</w:t>
      </w:r>
    </w:p>
    <w:p>
      <w:r>
        <w:t xml:space="preserve">As a partner to the coalition, </w:t>
      </w:r>
      <w:r>
        <w:t>New Zealand</w:t>
      </w:r>
      <w:r>
        <w:t xml:space="preserve"> ranks </w:t>
      </w:r>
      <w:r>
        <w:t>41st</w:t>
      </w:r>
      <w:r>
        <w:t xml:space="preserve"> of </w:t>
      </w:r>
      <w:r>
        <w:t>192</w:t>
      </w:r>
      <w:r>
        <w:t xml:space="preserve"> economies. In the allied network design it is a member with no production share in any of the </w:t>
      </w:r>
      <w:r>
        <w:t>22</w:t>
      </w:r>
      <w:r>
        <w:t xml:space="preserve"> upstream and midstream stages.</w:t>
      </w:r>
      <w:r>
        <w:rPr>
          <w:color w:val="4B5563"/>
          <w:vertAlign w:val="superscript"/>
        </w:rPr>
        <w:t>1,5</w:t>
      </w:r>
    </w:p>
    <w:p>
      <w:pPr>
        <w:pStyle w:val="Heading1"/>
      </w:pPr>
      <w:r>
        <w:t>5. Data notes and caveats</w:t>
      </w:r>
    </w:p>
    <w:p>
      <w:r>
        <w:t xml:space="preserve">Values are as of </w:t>
      </w:r>
      <w:r>
        <w:t>12 October 2026</w:t>
      </w:r>
      <w:r>
        <w:t>; Country Insights has more.</w:t>
      </w:r>
    </w:p>
    <w:p>
      <w:pPr>
        <w:pStyle w:val="ListBullet"/>
      </w:pPr>
      <w:r>
        <w:t>Scores compare New Zealand with other economies in the same sector; they are not measures of risk or profit in absolute terms.</w:t>
      </w:r>
    </w:p>
    <w:p>
      <w:pPr>
        <w:pStyle w:val="ListBullet"/>
      </w:pPr>
      <w:r>
        <w:t>All index values are the paper's baseline as of 12 October 2026; Strategic Insights recomputes them under other weightings.</w:t>
      </w:r>
    </w:p>
    <w:p>
      <w:pPr>
        <w:pStyle w:val="ListBullet"/>
      </w:pPr>
      <w:r>
        <w:t>Strategic Index scores within 0.01 of each other are almost tied: small changes in the data or the weights can swap their order.</w:t>
      </w:r>
    </w:p>
    <w:p>
      <w:pPr>
        <w:pStyle w:val="ListBullet"/>
      </w:pPr>
      <w:r>
        <w:t>Many allied picks are close calls: in the paper, 37% of them are within 0.01 of the runner-up.</w:t>
      </w:r>
    </w:p>
    <w:p>
      <w:pPr>
        <w:pStyle w:val="ListBullet"/>
      </w:pPr>
      <w:r>
        <w:t>Some of New Zealand's sectors are not placed: a score is compared with other economies only when the economy is sovereign and at most half of the score rests on filled-in data.</w:t>
      </w:r>
    </w:p>
    <w:p>
      <w:pPr>
        <w:pStyle w:val="ListBullet"/>
      </w:pPr>
      <w:r>
        <w:t>Industrial-policy measures from the Global Trade Alert, New Industrial Policy Observatory, October 2026 extract (as of 5 October 2026) are context only, outside the Policy index.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paper baseline (Opportunity Security Indices pipeline); CC BY 4.0 (the paper's indices).</w:t>
      </w:r>
    </w:p>
    <w:p>
      <w:pPr>
        <w:pStyle w:val="ListNumber"/>
      </w:pPr>
      <w:r>
        <w:rPr>
          <w:sz w:val="17"/>
        </w:rPr>
        <w:t>United Nations, UN Comtrade Database, HS6 bilateral trade (all reporters), 2020 and 2024; reconciled by the authors (pulled 2026-10-07 to 2026-10-09); attribution; https://comtradeplus.un.org/.</w:t>
      </w:r>
    </w:p>
    <w:p>
      <w:pPr>
        <w:pStyle w:val="ListNumber"/>
      </w:pPr>
      <w:r>
        <w:rPr>
          <w:sz w:val="17"/>
        </w:rPr>
        <w:t>Growth Lab at Harvard University, The Atlas of Economic Complexity, HS92 6-digit country-product-year data (data to 2023); attribution; https://atlas.hks.harvard.edu/.</w:t>
      </w:r>
    </w:p>
    <w:p>
      <w:pPr>
        <w:pStyle w:val="ListNumber"/>
      </w:pPr>
      <w:r>
        <w:rPr>
          <w:sz w:val="17"/>
        </w:rPr>
        <w:t>Energy Institute, Statistical Review of World Energy 2026 (data to 2025); attribution; https://www.energyinst.org/statistical-review.</w:t>
      </w:r>
    </w:p>
    <w:p>
      <w:pPr>
        <w:pStyle w:val="ListNumber"/>
      </w:pPr>
      <w:r>
        <w:rPr>
          <w:sz w:val="17"/>
        </w:rPr>
        <w:t>Allied network design (the paper's model design of coalition production shares).</w:t>
      </w:r>
    </w:p>
    <w:p>
      <w:pPr>
        <w:pStyle w:val="ListNumber"/>
      </w:pPr>
      <w:r>
        <w:rPr>
          <w:sz w:val="17"/>
        </w:rPr>
        <w:t>Climate Action Tracker, country ratings (ratings updated 2022-2025); attribution; https://climateactiontracker.org/.</w:t>
      </w:r>
    </w:p>
    <w:p>
      <w:pPr>
        <w:pStyle w:val="ListNumber"/>
      </w:pPr>
      <w:r>
        <w:rPr>
          <w:sz w:val="17"/>
        </w:rPr>
        <w:t>International Energy Agency, Policies and Measures Database (export of 2026-09-30); attribution; https://www.iea.org/policies.</w:t>
      </w:r>
    </w:p>
    <w:p>
      <w:pPr>
        <w:pStyle w:val="ListNumber"/>
      </w:pPr>
      <w:r>
        <w:rPr>
          <w:sz w:val="17"/>
        </w:rPr>
        <w:t>Global Trade Alert, New Industrial Policy Observatory: industrial-policy interventions, strength scored by the authors, October 2026 extract (as of 5 October 2026); subscription (titles, dates and links only); https://www.globaltradealert.org/.</w:t>
      </w:r>
    </w:p>
    <w:p>
      <w:pPr>
        <w:pStyle w:val="ListNumber"/>
      </w:pPr>
      <w:r>
        <w:rPr>
          <w:sz w:val="17"/>
        </w:rPr>
        <w:t>Bailey, M., Strezhnev, A. and Voeten, E., United Nations General Assembly Voting Data, ideal points (Harvard Dataverse V39.0) (sessions to 2023); attribution; https://dataverse.harvard.edu/dataset.xhtml?persistentId=hdl:1902.1/12379.</w:t>
      </w:r>
    </w:p>
    <w:p>
      <w:pPr>
        <w:pStyle w:val="ListNumber"/>
      </w:pPr>
      <w:r>
        <w:rPr>
          <w:sz w:val="17"/>
        </w:rPr>
        <w:t>Economic-security agreements: G7, NATO, Indo-Pacific Economic Framework, Minerals Security Partnership (and Forum), U.S. free-trade agreements (compiled by the authors from official membership lists).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paper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paper baseline as of 12 October 2026.  Allied Industrial Base Explorer, Country Insights: New Zealand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Zealand: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NZL</cp:keywords>
  <dc:description>paper baseline as of 12 October 2026; fact sheet sha256 f74c42b6bee6f0896582d449b3f24532d9d9cc33363a8a33a74459888d7d52a9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