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Poland: energy security, economic opportunity and partnership priorities</w:t>
      </w:r>
    </w:p>
    <w:p>
      <w:r>
        <w:rPr>
          <w:color w:val="4B5563"/>
          <w:sz w:val="18"/>
        </w:rPr>
        <w:t>Policy memo · Country Insights · Allied Industrial Base Explorer · NEIS Center</w:t>
      </w:r>
    </w:p>
    <w:p>
      <w:pPr>
        <w:pBdr>
          <w:top w:val="single" w:sz="4" w:space="4" w:color="D1D5DB"/>
        </w:pBdr>
      </w:pPr>
      <w:r>
        <w:rPr>
          <w:i/>
          <w:color w:val="4B5563"/>
          <w:sz w:val="19"/>
        </w:rPr>
        <w:t>AI-generated from the data and checked against it; paper baseline as of 12 October 2026.</w:t>
      </w:r>
    </w:p>
    <w:tbl>
      <w:tblPr>
        <w:tblW w:type="auto" w:w="0"/>
        <w:tblLook w:firstColumn="1" w:firstRow="1" w:lastColumn="0" w:lastRow="0" w:noHBand="0" w:noVBand="1" w:val="04A0"/>
      </w:tblPr>
      <w:tblGrid>
        <w:gridCol w:w="10080"/>
      </w:tblGrid>
      <w:tr>
        <w:tc>
          <w:tcPr>
            <w:tcW w:type="dxa" w:w="10080"/>
            <w:shd w:val="clear" w:color="auto" w:fill="F3F4F6"/>
            <w:tcBorders>
              <w:top w:val="nil"/>
              <w:left w:val="single" w:sz="24" w:space="0" w:color="F58229"/>
              <w:bottom w:val="nil"/>
              <w:right w:val="nil"/>
            </w:tcBorders>
            <w:tcMar>
              <w:top w:w="120" w:type="dxa"/>
              <w:left w:w="200" w:type="dxa"/>
              <w:bottom w:w="80" w:type="dxa"/>
              <w:right w:w="160" w:type="dxa"/>
            </w:tcMar>
          </w:tcPr>
          <w:p>
            <w:r>
              <w:rPr>
                <w:b/>
                <w:sz w:val="24"/>
              </w:rPr>
              <w:t>Summary</w:t>
            </w:r>
          </w:p>
          <w:p>
            <w:pPr>
              <w:pStyle w:val="ListBullet"/>
            </w:pPr>
            <w:r>
              <w:t>Poland</w:t>
            </w:r>
            <w:r>
              <w:t xml:space="preserve"> is most exposed in </w:t>
            </w:r>
            <w:r>
              <w:t>upstream oil</w:t>
            </w:r>
            <w:r>
              <w:t xml:space="preserve"> and </w:t>
            </w:r>
            <w:r>
              <w:t>downstream nuclear</w:t>
            </w:r>
            <w:r>
              <w:t xml:space="preserve">, where its Energy Security is higher than only </w:t>
            </w:r>
            <w:r>
              <w:t>17%</w:t>
            </w:r>
            <w:r>
              <w:t xml:space="preserve"> and </w:t>
            </w:r>
            <w:r>
              <w:t>26%</w:t>
            </w:r>
            <w:r>
              <w:t xml:space="preserve"> of the other economies scored. In </w:t>
            </w:r>
            <w:r>
              <w:t>upstream oil</w:t>
            </w:r>
            <w:r>
              <w:t>, a production shortfall and no recorded reserves pull the score down.</w:t>
            </w:r>
            <w:r>
              <w:rPr>
                <w:color w:val="4B5563"/>
                <w:vertAlign w:val="superscript"/>
              </w:rPr>
              <w:t>1</w:t>
            </w:r>
          </w:p>
          <w:p>
            <w:pPr>
              <w:pStyle w:val="ListBullet"/>
            </w:pPr>
            <w:r>
              <w:t xml:space="preserve">Its strongest openings are in </w:t>
            </w:r>
            <w:r>
              <w:t>midstream coal</w:t>
            </w:r>
            <w:r>
              <w:t xml:space="preserve">, </w:t>
            </w:r>
            <w:r>
              <w:t>midstream wind</w:t>
            </w:r>
            <w:r>
              <w:t xml:space="preserve"> and </w:t>
            </w:r>
            <w:r>
              <w:t>midstream electric grid</w:t>
            </w:r>
            <w:r>
              <w:t xml:space="preserve">, where its Economic Opportunity is higher than </w:t>
            </w:r>
            <w:r>
              <w:t>99%</w:t>
            </w:r>
            <w:r>
              <w:t xml:space="preserve">, </w:t>
            </w:r>
            <w:r>
              <w:t>98%</w:t>
            </w:r>
            <w:r>
              <w:t xml:space="preserve"> and </w:t>
            </w:r>
            <w:r>
              <w:t>98%</w:t>
            </w:r>
            <w:r>
              <w:t xml:space="preserve"> of the other economies scored. Trade pushes up the coal and grid scores, and investment the wind score.</w:t>
            </w:r>
            <w:r>
              <w:rPr>
                <w:color w:val="4B5563"/>
                <w:vertAlign w:val="superscript"/>
              </w:rPr>
              <w:t>1</w:t>
            </w:r>
          </w:p>
          <w:p>
            <w:pPr>
              <w:pStyle w:val="ListBullet"/>
            </w:pPr>
            <w:r>
              <w:t xml:space="preserve">On the paper's weighting, the Strategic Index puts </w:t>
            </w:r>
            <w:r>
              <w:t>upstream nuclear</w:t>
            </w:r>
            <w:r>
              <w:t xml:space="preserve"> </w:t>
            </w:r>
            <w:r>
              <w:t>1st</w:t>
            </w:r>
            <w:r>
              <w:t xml:space="preserve"> among </w:t>
            </w:r>
            <w:r>
              <w:t>Poland</w:t>
            </w:r>
            <w:r>
              <w:t>'s own sectors; its policy activity is in the "</w:t>
            </w:r>
            <w:r>
              <w:t>middle</w:t>
            </w:r>
            <w:r>
              <w:t>" group.</w:t>
            </w:r>
            <w:r>
              <w:rPr>
                <w:color w:val="4B5563"/>
                <w:vertAlign w:val="superscript"/>
              </w:rPr>
              <w:t>1</w:t>
            </w:r>
          </w:p>
          <w:p>
            <w:pPr>
              <w:pStyle w:val="ListBullet"/>
            </w:pPr>
            <w:r>
              <w:t xml:space="preserve">The Partnership Strength Index rates </w:t>
            </w:r>
            <w:r>
              <w:t>Germany</w:t>
            </w:r>
            <w:r>
              <w:t xml:space="preserve"> highest for </w:t>
            </w:r>
            <w:r>
              <w:t>Poland</w:t>
            </w:r>
            <w:r>
              <w:t xml:space="preserve">, as an </w:t>
            </w:r>
            <w:r>
              <w:t>export market</w:t>
            </w:r>
            <w:r>
              <w:t xml:space="preserve">; it is also </w:t>
            </w:r>
            <w:r>
              <w:t>Poland</w:t>
            </w:r>
            <w:r>
              <w:t xml:space="preserve">'s </w:t>
            </w:r>
            <w:r>
              <w:t>1st</w:t>
            </w:r>
            <w:r>
              <w:t xml:space="preserve"> trade partner. </w:t>
            </w:r>
            <w:r>
              <w:t>China</w:t>
            </w:r>
            <w:r>
              <w:t xml:space="preserve"> ranks </w:t>
            </w:r>
            <w:r>
              <w:t>2nd</w:t>
            </w:r>
            <w:r>
              <w:t xml:space="preserve"> among its trade partners but </w:t>
            </w:r>
            <w:r>
              <w:t>46th</w:t>
            </w:r>
            <w:r>
              <w:t xml:space="preserve"> on Partnership Strength.</w:t>
            </w:r>
            <w:r>
              <w:rPr>
                <w:color w:val="4B5563"/>
                <w:vertAlign w:val="superscript"/>
              </w:rPr>
              <w:t>1,2</w:t>
            </w:r>
          </w:p>
        </w:tc>
      </w:tr>
    </w:tbl>
    <w:p/>
    <w:p>
      <w:pPr>
        <w:pStyle w:val="Heading1"/>
      </w:pPr>
      <w:r>
        <w:t>1. Energy security risks and why</w:t>
      </w:r>
    </w:p>
    <w:p>
      <w:r>
        <w:t xml:space="preserve">Energy Security measures how well a country can rely on what it needs in a sector, compared with other economies. Of </w:t>
      </w:r>
      <w:r>
        <w:t>Poland</w:t>
      </w:r>
      <w:r>
        <w:t xml:space="preserve">'s </w:t>
      </w:r>
      <w:r>
        <w:t>30</w:t>
      </w:r>
      <w:r>
        <w:t xml:space="preserve"> placed sectors (those comparable on both scores), </w:t>
      </w:r>
      <w:r>
        <w:t>4</w:t>
      </w:r>
      <w:r>
        <w:t xml:space="preserve"> sit in the two low-energy-security corners: all </w:t>
      </w:r>
      <w:r>
        <w:t>4</w:t>
      </w:r>
      <w:r>
        <w:t xml:space="preserve"> in the Upgrade corner and none in the Secure corner. The Upgrade corner pairs high opportunity with low energy security. Compared with other economies in each sector, its Energy Security is lowest in </w:t>
      </w:r>
      <w:r>
        <w:t>upstream oil</w:t>
      </w:r>
      <w:r>
        <w:t xml:space="preserve"> (</w:t>
      </w:r>
      <w:r>
        <w:t>0.37</w:t>
      </w:r>
      <w:r>
        <w:t xml:space="preserve">) and </w:t>
      </w:r>
      <w:r>
        <w:t>downstream nuclear</w:t>
      </w:r>
      <w:r>
        <w:t xml:space="preserve"> (</w:t>
      </w:r>
      <w:r>
        <w:t>0.35</w:t>
      </w:r>
      <w:r>
        <w:t xml:space="preserve">), both in the </w:t>
      </w:r>
      <w:r>
        <w:t>Upgrade</w:t>
      </w:r>
      <w:r>
        <w:t xml:space="preserve"> corner. It scores higher than only </w:t>
      </w:r>
      <w:r>
        <w:t>17%</w:t>
      </w:r>
      <w:r>
        <w:t xml:space="preserve"> and </w:t>
      </w:r>
      <w:r>
        <w:t>26%</w:t>
      </w:r>
      <w:r>
        <w:t xml:space="preserve"> of the other </w:t>
      </w:r>
      <w:r>
        <w:t>96</w:t>
      </w:r>
      <w:r>
        <w:t xml:space="preserve"> and </w:t>
      </w:r>
      <w:r>
        <w:t>66</w:t>
      </w:r>
      <w:r>
        <w:t xml:space="preserve"> economies scored in these sectors.</w:t>
      </w:r>
      <w:r>
        <w:rPr>
          <w:color w:val="4B5563"/>
          <w:vertAlign w:val="superscript"/>
        </w:rPr>
        <w:t>1</w:t>
      </w:r>
    </w:p>
    <w:p>
      <w:r>
        <w:t xml:space="preserve">Its high-priority sectors, chosen from the Upgrade corner by Strategic Index rank, are </w:t>
      </w:r>
      <w:r>
        <w:t>downstream nuclear, upstream gas and upstream oil</w:t>
      </w:r>
      <w:r>
        <w:t xml:space="preserve">. In </w:t>
      </w:r>
      <w:r>
        <w:t>upstream oil</w:t>
      </w:r>
      <w:r>
        <w:t xml:space="preserve">, energy imports and reserves pull the score down: oil production minus consumption was </w:t>
      </w:r>
      <w:r>
        <w:t>-1.42 EJ</w:t>
      </w:r>
      <w:r>
        <w:t xml:space="preserve"> in </w:t>
      </w:r>
      <w:r>
        <w:t>2025</w:t>
      </w:r>
      <w:r>
        <w:t xml:space="preserve">, and no proved oil reserves are recorded, which the index counts as zero. For context, its largest suppliers in </w:t>
      </w:r>
      <w:r>
        <w:t>2024</w:t>
      </w:r>
      <w:r>
        <w:t xml:space="preserve"> were </w:t>
      </w:r>
      <w:r>
        <w:t>Saudi Arabia</w:t>
      </w:r>
      <w:r>
        <w:t xml:space="preserve"> (</w:t>
      </w:r>
      <w:r>
        <w:t>35.9%</w:t>
      </w:r>
      <w:r>
        <w:t xml:space="preserve"> of imports totalling </w:t>
      </w:r>
      <w:r>
        <w:t>USD 22.7 bn</w:t>
      </w:r>
      <w:r>
        <w:t xml:space="preserve">), </w:t>
      </w:r>
      <w:r>
        <w:t>Norway</w:t>
      </w:r>
      <w:r>
        <w:t xml:space="preserve"> (</w:t>
      </w:r>
      <w:r>
        <w:t>20.2%</w:t>
      </w:r>
      <w:r>
        <w:t xml:space="preserve">) and the </w:t>
      </w:r>
      <w:r>
        <w:t>United States</w:t>
      </w:r>
      <w:r>
        <w:t xml:space="preserve"> (</w:t>
      </w:r>
      <w:r>
        <w:t>13.6%</w:t>
      </w:r>
      <w:r>
        <w:t>).</w:t>
      </w:r>
      <w:r>
        <w:rPr>
          <w:color w:val="4B5563"/>
          <w:vertAlign w:val="superscript"/>
        </w:rPr>
        <w:t>1,2,3,4</w:t>
      </w:r>
    </w:p>
    <w:p>
      <w:r>
        <w:t xml:space="preserve">In </w:t>
      </w:r>
      <w:r>
        <w:t>upstream gas</w:t>
      </w:r>
      <w:r>
        <w:t xml:space="preserve">, also in the </w:t>
      </w:r>
      <w:r>
        <w:t>Upgrade</w:t>
      </w:r>
      <w:r>
        <w:t xml:space="preserve"> corner, its Energy Security is higher than </w:t>
      </w:r>
      <w:r>
        <w:t>46%</w:t>
      </w:r>
      <w:r>
        <w:t xml:space="preserve"> of the other </w:t>
      </w:r>
      <w:r>
        <w:t>97</w:t>
      </w:r>
      <w:r>
        <w:t xml:space="preserve"> economies scored. Energy imports pull it down: gas production minus consumption was </w:t>
      </w:r>
      <w:r>
        <w:t>-0.673 EJ</w:t>
      </w:r>
      <w:r>
        <w:t xml:space="preserve"> in </w:t>
      </w:r>
      <w:r>
        <w:t>2025</w:t>
      </w:r>
      <w:r>
        <w:t xml:space="preserve">. In </w:t>
      </w:r>
      <w:r>
        <w:t>downstream nuclear</w:t>
      </w:r>
      <w:r>
        <w:t xml:space="preserve">, no category stands apart from the middle economy, and </w:t>
      </w:r>
      <w:r>
        <w:t>41.7%</w:t>
      </w:r>
      <w:r>
        <w:t xml:space="preserve"> of the score's weight rests on filled-in data.</w:t>
      </w:r>
      <w:r>
        <w:rPr>
          <w:color w:val="4B5563"/>
          <w:vertAlign w:val="superscript"/>
        </w:rPr>
        <w:t>1,3</w:t>
      </w:r>
    </w:p>
    <w:p>
      <w:pPr>
        <w:pStyle w:val="Heading1"/>
      </w:pPr>
      <w:r>
        <w:t>2. Economic opportunities and why</w:t>
      </w:r>
    </w:p>
    <w:p>
      <w:r>
        <w:t xml:space="preserve">Economic Opportunity measures how well placed a country is to create value in a sector, from exports and related capabilities to investment, costs and demand. Of the </w:t>
      </w:r>
      <w:r>
        <w:t>30</w:t>
      </w:r>
      <w:r>
        <w:t xml:space="preserve"> placed sectors, </w:t>
      </w:r>
      <w:r>
        <w:t>29</w:t>
      </w:r>
      <w:r>
        <w:t xml:space="preserve"> sit in the two high-opportunity corners: </w:t>
      </w:r>
      <w:r>
        <w:t>25</w:t>
      </w:r>
      <w:r>
        <w:t xml:space="preserve"> in the Grow corner, with high energy security, and </w:t>
      </w:r>
      <w:r>
        <w:t>4</w:t>
      </w:r>
      <w:r>
        <w:t xml:space="preserve"> in the Upgrade corner. Its Economic Opportunity ranks highest in </w:t>
      </w:r>
      <w:r>
        <w:t>midstream coal</w:t>
      </w:r>
      <w:r>
        <w:t xml:space="preserve">, </w:t>
      </w:r>
      <w:r>
        <w:t>midstream wind</w:t>
      </w:r>
      <w:r>
        <w:t xml:space="preserve"> and </w:t>
      </w:r>
      <w:r>
        <w:t>midstream electric grid</w:t>
      </w:r>
      <w:r>
        <w:t xml:space="preserve">, higher than </w:t>
      </w:r>
      <w:r>
        <w:t>99%</w:t>
      </w:r>
      <w:r>
        <w:t xml:space="preserve">, </w:t>
      </w:r>
      <w:r>
        <w:t>98%</w:t>
      </w:r>
      <w:r>
        <w:t xml:space="preserve"> and </w:t>
      </w:r>
      <w:r>
        <w:t>98%</w:t>
      </w:r>
      <w:r>
        <w:t xml:space="preserve"> of the other </w:t>
      </w:r>
      <w:r>
        <w:t>154</w:t>
      </w:r>
      <w:r>
        <w:t xml:space="preserve">, </w:t>
      </w:r>
      <w:r>
        <w:t>64</w:t>
      </w:r>
      <w:r>
        <w:t xml:space="preserve"> and </w:t>
      </w:r>
      <w:r>
        <w:t>92</w:t>
      </w:r>
      <w:r>
        <w:t xml:space="preserve"> economies scored.</w:t>
      </w:r>
      <w:r>
        <w:rPr>
          <w:color w:val="4B5563"/>
          <w:vertAlign w:val="superscript"/>
        </w:rPr>
        <w:t>1</w:t>
      </w:r>
    </w:p>
    <w:p>
      <w:r>
        <w:t xml:space="preserve">Trade pushes </w:t>
      </w:r>
      <w:r>
        <w:t>midstream coal</w:t>
      </w:r>
      <w:r>
        <w:t xml:space="preserve"> up: its share of world exports was </w:t>
      </w:r>
      <w:r>
        <w:t>13.5%</w:t>
      </w:r>
      <w:r>
        <w:t xml:space="preserve"> in </w:t>
      </w:r>
      <w:r>
        <w:t>2023</w:t>
      </w:r>
      <w:r>
        <w:t xml:space="preserve">, and its exports </w:t>
      </w:r>
      <w:r>
        <w:t>USD 2.45 bn</w:t>
      </w:r>
      <w:r>
        <w:t xml:space="preserve"> in </w:t>
      </w:r>
      <w:r>
        <w:t>2024</w:t>
      </w:r>
      <w:r>
        <w:t xml:space="preserve">. In </w:t>
      </w:r>
      <w:r>
        <w:t>midstream wind</w:t>
      </w:r>
      <w:r>
        <w:t xml:space="preserve">, investment and foreign dependency push the score up. It scores higher than </w:t>
      </w:r>
      <w:r>
        <w:t>97%</w:t>
      </w:r>
      <w:r>
        <w:t xml:space="preserve"> of the other economies on annual investment. The foreign-dependency figure, a </w:t>
      </w:r>
      <w:r>
        <w:t>2035</w:t>
      </w:r>
      <w:r>
        <w:t xml:space="preserve"> share of world manufacturing capacity of </w:t>
      </w:r>
      <w:r>
        <w:t>15.0%</w:t>
      </w:r>
      <w:r>
        <w:t xml:space="preserve">, is </w:t>
      </w:r>
      <w:r>
        <w:t>the EU's announced share, carried by each EU member</w:t>
      </w:r>
      <w:r>
        <w:t xml:space="preserve">. In </w:t>
      </w:r>
      <w:r>
        <w:t>midstream electric grid</w:t>
      </w:r>
      <w:r>
        <w:t xml:space="preserve">, trade and input costs push it up: exports were </w:t>
      </w:r>
      <w:r>
        <w:t>USD 9.47 bn</w:t>
      </w:r>
      <w:r>
        <w:t xml:space="preserve"> in </w:t>
      </w:r>
      <w:r>
        <w:t>2024</w:t>
      </w:r>
      <w:r>
        <w:t xml:space="preserve">, and on labour and capital costs it scores higher than </w:t>
      </w:r>
      <w:r>
        <w:t>90%</w:t>
      </w:r>
      <w:r>
        <w:t xml:space="preserve"> of the other economies.</w:t>
      </w:r>
      <w:r>
        <w:rPr>
          <w:color w:val="4B5563"/>
          <w:vertAlign w:val="superscript"/>
        </w:rPr>
        <w:t>1,5,6,7</w:t>
      </w:r>
    </w:p>
    <w:p>
      <w:r>
        <w:t xml:space="preserve">For context, </w:t>
      </w:r>
      <w:r>
        <w:t>Germany</w:t>
      </w:r>
      <w:r>
        <w:t xml:space="preserve"> took </w:t>
      </w:r>
      <w:r>
        <w:t>26.6%</w:t>
      </w:r>
      <w:r>
        <w:t xml:space="preserve"> of its </w:t>
      </w:r>
      <w:r>
        <w:t>midstream wind</w:t>
      </w:r>
      <w:r>
        <w:t xml:space="preserve"> exports of </w:t>
      </w:r>
      <w:r>
        <w:t>USD 10.8 bn</w:t>
      </w:r>
      <w:r>
        <w:t xml:space="preserve"> in </w:t>
      </w:r>
      <w:r>
        <w:t>2024</w:t>
      </w:r>
      <w:r>
        <w:t xml:space="preserve">, the </w:t>
      </w:r>
      <w:r>
        <w:t>Czech Republic</w:t>
      </w:r>
      <w:r>
        <w:t xml:space="preserve"> </w:t>
      </w:r>
      <w:r>
        <w:t>8.9%</w:t>
      </w:r>
      <w:r>
        <w:t xml:space="preserve"> and the </w:t>
      </w:r>
      <w:r>
        <w:t>United States</w:t>
      </w:r>
      <w:r>
        <w:t xml:space="preserve"> </w:t>
      </w:r>
      <w:r>
        <w:t>8.1%</w:t>
      </w:r>
      <w:r>
        <w:t>. The paper's framework associates the Grow corner with export promotion.</w:t>
      </w:r>
      <w:r>
        <w:rPr>
          <w:color w:val="4B5563"/>
          <w:vertAlign w:val="superscript"/>
        </w:rPr>
        <w:t>2</w:t>
      </w:r>
    </w:p>
    <w:p>
      <w:pPr>
        <w:pStyle w:val="Heading1"/>
      </w:pPr>
      <w:r>
        <w:t>3. Sectoral priorities and the existing policy posture</w:t>
      </w:r>
    </w:p>
    <w:p>
      <w:r>
        <w:t xml:space="preserve">The Strategic Index ranks </w:t>
      </w:r>
      <w:r>
        <w:t>Poland</w:t>
      </w:r>
      <w:r>
        <w:t xml:space="preserve">'s own sectors by combining opportunity, security need, policy activity, the supply-chain stage and the technology's low-emission value. On the paper's weighting, it puts </w:t>
      </w:r>
      <w:r>
        <w:t>upstream nuclear</w:t>
      </w:r>
      <w:r>
        <w:t xml:space="preserve"> </w:t>
      </w:r>
      <w:r>
        <w:t>1st</w:t>
      </w:r>
      <w:r>
        <w:t xml:space="preserve">, </w:t>
      </w:r>
      <w:r>
        <w:t>upstream wind</w:t>
      </w:r>
      <w:r>
        <w:t xml:space="preserve"> </w:t>
      </w:r>
      <w:r>
        <w:t>2nd</w:t>
      </w:r>
      <w:r>
        <w:t xml:space="preserve">, </w:t>
      </w:r>
      <w:r>
        <w:t>downstream solar</w:t>
      </w:r>
      <w:r>
        <w:t xml:space="preserve"> </w:t>
      </w:r>
      <w:r>
        <w:t>3rd</w:t>
      </w:r>
      <w:r>
        <w:t xml:space="preserve">, </w:t>
      </w:r>
      <w:r>
        <w:t>upstream batteries</w:t>
      </w:r>
      <w:r>
        <w:t xml:space="preserve"> </w:t>
      </w:r>
      <w:r>
        <w:t>4th</w:t>
      </w:r>
      <w:r>
        <w:t xml:space="preserve"> and </w:t>
      </w:r>
      <w:r>
        <w:t>midstream electric grid</w:t>
      </w:r>
      <w:r>
        <w:t xml:space="preserve"> </w:t>
      </w:r>
      <w:r>
        <w:t>5th</w:t>
      </w:r>
      <w:r>
        <w:t xml:space="preserve"> among its own sectors. At </w:t>
      </w:r>
      <w:r>
        <w:t>0.66</w:t>
      </w:r>
      <w:r>
        <w:t xml:space="preserve">, </w:t>
      </w:r>
      <w:r>
        <w:t>upstream nuclear</w:t>
      </w:r>
      <w:r>
        <w:t xml:space="preserve"> leads by </w:t>
      </w:r>
      <w:r>
        <w:t>0.022</w:t>
      </w:r>
      <w:r>
        <w:t xml:space="preserve">, with security need adding </w:t>
      </w:r>
      <w:r>
        <w:t>0.244</w:t>
      </w:r>
      <w:r>
        <w:t xml:space="preserve"> and opportunity </w:t>
      </w:r>
      <w:r>
        <w:t>0.163</w:t>
      </w:r>
      <w:r>
        <w:t xml:space="preserve">. The sectors after it are almost tied, with gaps of </w:t>
      </w:r>
      <w:r>
        <w:t>0.009</w:t>
      </w:r>
      <w:r>
        <w:t xml:space="preserve">, </w:t>
      </w:r>
      <w:r>
        <w:t>0.000</w:t>
      </w:r>
      <w:r>
        <w:t xml:space="preserve"> and </w:t>
      </w:r>
      <w:r>
        <w:t>0.003</w:t>
      </w:r>
      <w:r>
        <w:t xml:space="preserve">. Policy activity accounts for the place of </w:t>
      </w:r>
      <w:r>
        <w:t>downstream solar</w:t>
      </w:r>
      <w:r>
        <w:t xml:space="preserve">, adding </w:t>
      </w:r>
      <w:r>
        <w:t>0.168</w:t>
      </w:r>
      <w:r>
        <w:t xml:space="preserve"> to its score: on data-based priority, the Strategic Index without that term, it ranks </w:t>
      </w:r>
      <w:r>
        <w:t>14th</w:t>
      </w:r>
      <w:r>
        <w:t xml:space="preserve">. Its high-priority sectors rank lower: </w:t>
      </w:r>
      <w:r>
        <w:t>downstream nuclear</w:t>
      </w:r>
      <w:r>
        <w:t xml:space="preserve"> </w:t>
      </w:r>
      <w:r>
        <w:t>14th</w:t>
      </w:r>
      <w:r>
        <w:t xml:space="preserve">, </w:t>
      </w:r>
      <w:r>
        <w:t>upstream gas</w:t>
      </w:r>
      <w:r>
        <w:t xml:space="preserve"> </w:t>
      </w:r>
      <w:r>
        <w:t>20th</w:t>
      </w:r>
      <w:r>
        <w:t xml:space="preserve"> and </w:t>
      </w:r>
      <w:r>
        <w:t>upstream oil</w:t>
      </w:r>
      <w:r>
        <w:t xml:space="preserve"> </w:t>
      </w:r>
      <w:r>
        <w:t>26th</w:t>
      </w:r>
      <w:r>
        <w:t xml:space="preserve">. Its allied pick, the top upstream or midstream sector after a resource screen, is </w:t>
      </w:r>
      <w:r>
        <w:t>upstream wind</w:t>
      </w:r>
      <w:r>
        <w:t xml:space="preserve">, almost tied with </w:t>
      </w:r>
      <w:r>
        <w:t>upstream batteries</w:t>
      </w:r>
      <w:r>
        <w:t xml:space="preserve">; the screen removes </w:t>
      </w:r>
      <w:r>
        <w:t>upstream nuclear</w:t>
      </w:r>
      <w:r>
        <w:t>.</w:t>
      </w:r>
      <w:r>
        <w:rPr>
          <w:color w:val="4B5563"/>
          <w:vertAlign w:val="superscript"/>
        </w:rPr>
        <w:t>1</w:t>
      </w:r>
    </w:p>
    <w:p>
      <w:r>
        <w:t xml:space="preserve">Policy activity counts International Energy Agency Policies and Measures records and reads the Climate Action Tracker rating against each technology. Splitting its sectors into thirds on each measure, top priority meets the most policy in </w:t>
      </w:r>
      <w:r>
        <w:t>midstream electric grid, midstream batteries and midstream solar</w:t>
      </w:r>
      <w:r>
        <w:t xml:space="preserve">. Its </w:t>
      </w:r>
      <w:r>
        <w:t>1st</w:t>
      </w:r>
      <w:r>
        <w:t xml:space="preserve"> and </w:t>
      </w:r>
      <w:r>
        <w:t>2nd</w:t>
      </w:r>
      <w:r>
        <w:t xml:space="preserve"> sectors, </w:t>
      </w:r>
      <w:r>
        <w:t>upstream nuclear</w:t>
      </w:r>
      <w:r>
        <w:t xml:space="preserve"> and </w:t>
      </w:r>
      <w:r>
        <w:t>upstream wind</w:t>
      </w:r>
      <w:r>
        <w:t xml:space="preserve">, are in the </w:t>
      </w:r>
      <w:r>
        <w:t>top third</w:t>
      </w:r>
      <w:r>
        <w:t xml:space="preserve"> on data-based priority but in the "</w:t>
      </w:r>
      <w:r>
        <w:t>middle</w:t>
      </w:r>
      <w:r>
        <w:t xml:space="preserve">" policy group. No top-priority sector has the least policy. Bottom priority meets the most policy in </w:t>
      </w:r>
      <w:r>
        <w:t>downstream green hydrogen</w:t>
      </w:r>
      <w:r>
        <w:t xml:space="preserve"> and the least in </w:t>
      </w:r>
      <w:r>
        <w:t>7</w:t>
      </w:r>
      <w:r>
        <w:t xml:space="preserve"> sectors, every oil and coal sector among them. </w:t>
      </w:r>
      <w:r>
        <w:t>Poland</w:t>
      </w:r>
      <w:r>
        <w:t xml:space="preserve"> carries the EU's Climate Action Tracker rating, </w:t>
      </w:r>
      <w:r>
        <w:t>Insufficient</w:t>
      </w:r>
      <w:r>
        <w:t xml:space="preserve"> (</w:t>
      </w:r>
      <w:r>
        <w:t>November 2024</w:t>
      </w:r>
      <w:r>
        <w:t xml:space="preserve">); it has </w:t>
      </w:r>
      <w:r>
        <w:t>205</w:t>
      </w:r>
      <w:r>
        <w:t xml:space="preserve"> Policies and Measures records of its own, </w:t>
      </w:r>
      <w:r>
        <w:t>114</w:t>
      </w:r>
      <w:r>
        <w:t xml:space="preserve"> naming a technology. For context, Global Trade Alert lists </w:t>
      </w:r>
      <w:r>
        <w:t>679</w:t>
      </w:r>
      <w:r>
        <w:t xml:space="preserve"> active industrial-policy measures for </w:t>
      </w:r>
      <w:r>
        <w:t>Poland</w:t>
      </w:r>
      <w:r>
        <w:t xml:space="preserve">, </w:t>
      </w:r>
      <w:r>
        <w:t>525</w:t>
      </w:r>
      <w:r>
        <w:t xml:space="preserve"> of them EU-wide.</w:t>
      </w:r>
      <w:r>
        <w:rPr>
          <w:color w:val="4B5563"/>
          <w:vertAlign w:val="superscript"/>
        </w:rPr>
        <w:t>1,8,9,10</w:t>
      </w:r>
    </w:p>
    <w:p>
      <w:pPr>
        <w:pStyle w:val="Heading1"/>
      </w:pPr>
      <w:r>
        <w:t>4. Partnership priorities and why</w:t>
      </w:r>
    </w:p>
    <w:p>
      <w:r>
        <w:t xml:space="preserve">The Partnership Strength Index rates partners from </w:t>
      </w:r>
      <w:r>
        <w:t>Poland</w:t>
      </w:r>
      <w:r>
        <w:t xml:space="preserve">'s viewpoint as reliable suppliers (Friendshore), as export markets (Partnership Opportunity) and, for middle- and lower-income partners, by Development Potential. It ranks </w:t>
      </w:r>
      <w:r>
        <w:t>Germany</w:t>
      </w:r>
      <w:r>
        <w:t xml:space="preserve"> </w:t>
      </w:r>
      <w:r>
        <w:t>1st</w:t>
      </w:r>
      <w:r>
        <w:t xml:space="preserve">, the </w:t>
      </w:r>
      <w:r>
        <w:t>Czech Republic</w:t>
      </w:r>
      <w:r>
        <w:t xml:space="preserve"> </w:t>
      </w:r>
      <w:r>
        <w:t>2nd</w:t>
      </w:r>
      <w:r>
        <w:t xml:space="preserve">, the </w:t>
      </w:r>
      <w:r>
        <w:t>United States</w:t>
      </w:r>
      <w:r>
        <w:t xml:space="preserve"> </w:t>
      </w:r>
      <w:r>
        <w:t>3rd</w:t>
      </w:r>
      <w:r>
        <w:t xml:space="preserve">, the </w:t>
      </w:r>
      <w:r>
        <w:t>Netherlands</w:t>
      </w:r>
      <w:r>
        <w:t xml:space="preserve"> </w:t>
      </w:r>
      <w:r>
        <w:t>4th</w:t>
      </w:r>
      <w:r>
        <w:t xml:space="preserve"> and </w:t>
      </w:r>
      <w:r>
        <w:t>Lithuania</w:t>
      </w:r>
      <w:r>
        <w:t xml:space="preserve"> </w:t>
      </w:r>
      <w:r>
        <w:t>5th</w:t>
      </w:r>
      <w:r>
        <w:t xml:space="preserve"> of </w:t>
      </w:r>
      <w:r>
        <w:t>190</w:t>
      </w:r>
      <w:r>
        <w:t xml:space="preserve"> partners. </w:t>
      </w:r>
      <w:r>
        <w:t>Germany</w:t>
      </w:r>
      <w:r>
        <w:t xml:space="preserve">, the </w:t>
      </w:r>
      <w:r>
        <w:t>Czech Republic</w:t>
      </w:r>
      <w:r>
        <w:t xml:space="preserve"> and the </w:t>
      </w:r>
      <w:r>
        <w:t>Netherlands</w:t>
      </w:r>
      <w:r>
        <w:t xml:space="preserve"> each stand out as an </w:t>
      </w:r>
      <w:r>
        <w:t>export market</w:t>
      </w:r>
      <w:r>
        <w:t xml:space="preserve">; for </w:t>
      </w:r>
      <w:r>
        <w:t>Germany</w:t>
      </w:r>
      <w:r>
        <w:t xml:space="preserve"> the best sectors include </w:t>
      </w:r>
      <w:r>
        <w:t>midstream wind, midstream electric grid, upstream solar, upstream electric grid and midstream solar</w:t>
      </w:r>
      <w:r>
        <w:t xml:space="preserve">. The </w:t>
      </w:r>
      <w:r>
        <w:t>United States</w:t>
      </w:r>
      <w:r>
        <w:t xml:space="preserve"> and </w:t>
      </w:r>
      <w:r>
        <w:t>Lithuania</w:t>
      </w:r>
      <w:r>
        <w:t xml:space="preserve"> each stand out as a </w:t>
      </w:r>
      <w:r>
        <w:t>reliable supplier</w:t>
      </w:r>
      <w:r>
        <w:t>.</w:t>
      </w:r>
      <w:r>
        <w:rPr>
          <w:color w:val="4B5563"/>
          <w:vertAlign w:val="superscript"/>
        </w:rPr>
        <w:t>1</w:t>
      </w:r>
    </w:p>
    <w:p>
      <w:r>
        <w:t xml:space="preserve">Today's ties mostly follow these priorities. </w:t>
      </w:r>
      <w:r>
        <w:t>Germany</w:t>
      </w:r>
      <w:r>
        <w:t xml:space="preserve">, the </w:t>
      </w:r>
      <w:r>
        <w:t>Czech Republic</w:t>
      </w:r>
      <w:r>
        <w:t xml:space="preserve"> and the </w:t>
      </w:r>
      <w:r>
        <w:t>United States</w:t>
      </w:r>
      <w:r>
        <w:t xml:space="preserve"> are each </w:t>
      </w:r>
      <w:r>
        <w:t>a priority partner with strong ties today</w:t>
      </w:r>
      <w:r>
        <w:t xml:space="preserve">: on average across its energy-goods baskets they are its </w:t>
      </w:r>
      <w:r>
        <w:t>1st</w:t>
      </w:r>
      <w:r>
        <w:t xml:space="preserve">, </w:t>
      </w:r>
      <w:r>
        <w:t>3rd</w:t>
      </w:r>
      <w:r>
        <w:t xml:space="preserve"> and </w:t>
      </w:r>
      <w:r>
        <w:t>4th</w:t>
      </w:r>
      <w:r>
        <w:t xml:space="preserve"> trade partners. </w:t>
      </w:r>
      <w:r>
        <w:t>Lithuania</w:t>
      </w:r>
      <w:r>
        <w:t xml:space="preserve">, by contrast, is </w:t>
      </w:r>
      <w:r>
        <w:t>a priority partner with few ties today</w:t>
      </w:r>
      <w:r>
        <w:t xml:space="preserve">, ranking </w:t>
      </w:r>
      <w:r>
        <w:t>36th</w:t>
      </w:r>
      <w:r>
        <w:t xml:space="preserve"> by trade. Each of these partners shares membership of </w:t>
      </w:r>
      <w:r>
        <w:t>NATO</w:t>
      </w:r>
      <w:r>
        <w:t xml:space="preserve"> with </w:t>
      </w:r>
      <w:r>
        <w:t>Poland</w:t>
      </w:r>
      <w:r>
        <w:t xml:space="preserve"> and votes in the </w:t>
      </w:r>
      <w:r>
        <w:t>same bloc</w:t>
      </w:r>
      <w:r>
        <w:t xml:space="preserve"> at the UN. </w:t>
      </w:r>
      <w:r>
        <w:t>China</w:t>
      </w:r>
      <w:r>
        <w:t xml:space="preserve"> ranks </w:t>
      </w:r>
      <w:r>
        <w:t>2nd</w:t>
      </w:r>
      <w:r>
        <w:t xml:space="preserve"> among its trade partners but </w:t>
      </w:r>
      <w:r>
        <w:t>46th</w:t>
      </w:r>
      <w:r>
        <w:t xml:space="preserve"> on Partnership Strength, and the countries vote in </w:t>
      </w:r>
      <w:r>
        <w:t>opposite blocs</w:t>
      </w:r>
      <w:r>
        <w:t xml:space="preserve">. </w:t>
      </w:r>
      <w:r>
        <w:t>Ukraine</w:t>
      </w:r>
      <w:r>
        <w:t xml:space="preserve">, its </w:t>
      </w:r>
      <w:r>
        <w:t>5th</w:t>
      </w:r>
      <w:r>
        <w:t xml:space="preserve"> trade partner, is </w:t>
      </w:r>
      <w:r>
        <w:t>a strong tie today that the index ranks lower</w:t>
      </w:r>
      <w:r>
        <w:t xml:space="preserve">, at </w:t>
      </w:r>
      <w:r>
        <w:t>45th</w:t>
      </w:r>
      <w:r>
        <w:t>.</w:t>
      </w:r>
      <w:r>
        <w:rPr>
          <w:color w:val="4B5563"/>
          <w:vertAlign w:val="superscript"/>
        </w:rPr>
        <w:t>1,2,11,12</w:t>
      </w:r>
    </w:p>
    <w:p>
      <w:r>
        <w:t xml:space="preserve">As a partner to the coalition, </w:t>
      </w:r>
      <w:r>
        <w:t>Poland</w:t>
      </w:r>
      <w:r>
        <w:t xml:space="preserve"> ranks </w:t>
      </w:r>
      <w:r>
        <w:t>9th</w:t>
      </w:r>
      <w:r>
        <w:t xml:space="preserve"> of </w:t>
      </w:r>
      <w:r>
        <w:t>192</w:t>
      </w:r>
      <w:r>
        <w:t xml:space="preserve"> economies on Partnership Strength averaged over the core members' viewpoints. In the allied network design, which spreads upstream and midstream production across coalition members, its largest derived shares are </w:t>
      </w:r>
      <w:r>
        <w:t>8.2%</w:t>
      </w:r>
      <w:r>
        <w:t xml:space="preserve"> of </w:t>
      </w:r>
      <w:r>
        <w:t>midstream coal</w:t>
      </w:r>
      <w:r>
        <w:t xml:space="preserve">, </w:t>
      </w:r>
      <w:r>
        <w:t>2.5%</w:t>
      </w:r>
      <w:r>
        <w:t xml:space="preserve"> of </w:t>
      </w:r>
      <w:r>
        <w:t>upstream coal</w:t>
      </w:r>
      <w:r>
        <w:t xml:space="preserve"> and </w:t>
      </w:r>
      <w:r>
        <w:t>2.3%</w:t>
      </w:r>
      <w:r>
        <w:t xml:space="preserve"> of </w:t>
      </w:r>
      <w:r>
        <w:t>midstream batteries</w:t>
      </w:r>
      <w:r>
        <w:t>.</w:t>
      </w:r>
      <w:r>
        <w:rPr>
          <w:color w:val="4B5563"/>
          <w:vertAlign w:val="superscript"/>
        </w:rPr>
        <w:t>1,13</w:t>
      </w:r>
    </w:p>
    <w:p>
      <w:pPr>
        <w:pStyle w:val="Heading1"/>
      </w:pPr>
      <w:r>
        <w:t>5. Data notes and caveats</w:t>
      </w:r>
    </w:p>
    <w:p>
      <w:r>
        <w:t xml:space="preserve">The Country Insights page shows these data as of </w:t>
      </w:r>
      <w:r>
        <w:t>12 October 2026</w:t>
      </w:r>
      <w:r>
        <w:t>.</w:t>
      </w:r>
    </w:p>
    <w:p>
      <w:pPr>
        <w:pStyle w:val="ListBullet"/>
      </w:pPr>
      <w:r>
        <w:t>Scores compare Poland with other economies in the same sector; they are not measures of risk or profit in absolute terms.</w:t>
      </w:r>
    </w:p>
    <w:p>
      <w:pPr>
        <w:pStyle w:val="ListBullet"/>
      </w:pPr>
      <w:r>
        <w:t>All index values are the paper's baseline as of 12 October 2026; Strategic Insights recomputes them under other weightings.</w:t>
      </w:r>
    </w:p>
    <w:p>
      <w:pPr>
        <w:pStyle w:val="ListBullet"/>
      </w:pPr>
      <w:r>
        <w:t>Strategic Index scores within 0.01 of each other are almost tied: small changes in the data or the weights can swap their order.</w:t>
      </w:r>
    </w:p>
    <w:p>
      <w:pPr>
        <w:pStyle w:val="ListBullet"/>
      </w:pPr>
      <w:r>
        <w:t>In the allied network design the European Union is one producer; Poland's shares are derived from its weight within the EU.</w:t>
      </w:r>
    </w:p>
    <w:p>
      <w:pPr>
        <w:pStyle w:val="ListBullet"/>
      </w:pPr>
      <w:r>
        <w:t>The Climate Action Tracker rates the EU as a whole; Poland carries the EU's rating.</w:t>
      </w:r>
    </w:p>
    <w:p>
      <w:pPr>
        <w:pStyle w:val="ListBullet"/>
      </w:pPr>
      <w:r>
        <w:t>Poland's counts leave out the EU's own 438 International Energy Agency policy records.</w:t>
      </w:r>
    </w:p>
    <w:p>
      <w:pPr>
        <w:pStyle w:val="ListBullet"/>
      </w:pPr>
      <w:r>
        <w:t>Trade figures count trade with other EU members.</w:t>
      </w:r>
    </w:p>
    <w:p>
      <w:pPr>
        <w:pStyle w:val="ListBullet"/>
      </w:pPr>
      <w:r>
        <w:t>Industrial-policy measures from the Global Trade Alert, New Industrial Policy Observatory, October 2026 extract (as of 5 October 2026) are context only, outside the Policy index.</w:t>
      </w:r>
    </w:p>
    <w:p>
      <w:pPr>
        <w:pStyle w:val="ListBullet"/>
      </w:pPr>
      <w:r>
        <w:t>Each EU member carries the EU's announced 2035 manufacturing-capacity shares and electric-vehicle figures.</w:t>
      </w:r>
    </w:p>
    <w:p>
      <w:pPr>
        <w:pStyle w:val="Heading2"/>
        <w:pBdr>
          <w:top w:val="single" w:sz="4" w:space="4" w:color="D1D5DB"/>
        </w:pBdr>
      </w:pPr>
      <w:r>
        <w:t>Sources</w:t>
      </w:r>
    </w:p>
    <w:p>
      <w:pPr>
        <w:pStyle w:val="ListNumber"/>
      </w:pPr>
      <w:r>
        <w:rPr>
          <w:sz w:val="17"/>
        </w:rPr>
        <w:t>Energy Security, Economic Opportunity, Strategic Index and Partnership Strength Index, paper baseline (Opportunity Security Indices pipeline); CC BY 4.0 (the paper's indices).</w:t>
      </w:r>
    </w:p>
    <w:p>
      <w:pPr>
        <w:pStyle w:val="ListNumber"/>
      </w:pPr>
      <w:r>
        <w:rPr>
          <w:sz w:val="17"/>
        </w:rPr>
        <w:t>United Nations, UN Comtrade Database, HS6 bilateral trade (all reporters), 2020 and 2024; reconciled by the authors (pulled 2026-10-07 to 2026-10-09); attribution; https://comtradeplus.un.org/.</w:t>
      </w:r>
    </w:p>
    <w:p>
      <w:pPr>
        <w:pStyle w:val="ListNumber"/>
      </w:pPr>
      <w:r>
        <w:rPr>
          <w:sz w:val="17"/>
        </w:rPr>
        <w:t>Energy Institute, Statistical Review of World Energy 2026 (data to 2025); attribution; https://www.energyinst.org/statistical-review.</w:t>
      </w:r>
    </w:p>
    <w:p>
      <w:pPr>
        <w:pStyle w:val="ListNumber"/>
      </w:pPr>
      <w:r>
        <w:rPr>
          <w:sz w:val="17"/>
        </w:rPr>
        <w:t>U.S. Energy Information Administration, International Energy Statistics, bulk file INTL.zip: crude oil incl. lease condensate, NGPL, dry natural gas and coal production; petroleum and other liquids, dry natural gas and coal consumption, bulk file dated 2026-10-03 (oil production to 2025; gas and coal to 2024); open; https://www.eia.gov/international/data/world.</w:t>
      </w:r>
    </w:p>
    <w:p>
      <w:pPr>
        <w:pStyle w:val="ListNumber"/>
      </w:pPr>
      <w:r>
        <w:rPr>
          <w:sz w:val="17"/>
        </w:rPr>
        <w:t>Growth Lab at Harvard University, The Atlas of Economic Complexity, HS92 6-digit country-product-year data (data to 2023); attribution; https://atlas.hks.harvard.edu/.</w:t>
      </w:r>
    </w:p>
    <w:p>
      <w:pPr>
        <w:pStyle w:val="ListNumber"/>
      </w:pPr>
      <w:r>
        <w:rPr>
          <w:sz w:val="17"/>
        </w:rPr>
        <w:t>United Nations, UN Comtrade Database, exports to World by reporter, 2024 (2024 data); attribution; https://comtradeplus.un.org/.</w:t>
      </w:r>
    </w:p>
    <w:p>
      <w:pPr>
        <w:pStyle w:val="ListNumber"/>
      </w:pPr>
      <w:r>
        <w:rPr>
          <w:sz w:val="17"/>
        </w:rPr>
        <w:t>International Energy Agency, Energy Technology Perspectives 2024: manufacturing capacity shares; International Energy Agency terms of use; https://www.iea.org/.</w:t>
      </w:r>
    </w:p>
    <w:p>
      <w:pPr>
        <w:pStyle w:val="ListNumber"/>
      </w:pPr>
      <w:r>
        <w:rPr>
          <w:sz w:val="17"/>
        </w:rPr>
        <w:t>Climate Action Tracker, country ratings (ratings updated 2022-2025); attribution; https://climateactiontracker.org/.</w:t>
      </w:r>
    </w:p>
    <w:p>
      <w:pPr>
        <w:pStyle w:val="ListNumber"/>
      </w:pPr>
      <w:r>
        <w:rPr>
          <w:sz w:val="17"/>
        </w:rPr>
        <w:t>International Energy Agency, Policies and Measures Database (export of 2026-09-30); attribution; https://www.iea.org/policies.</w:t>
      </w:r>
    </w:p>
    <w:p>
      <w:pPr>
        <w:pStyle w:val="ListNumber"/>
      </w:pPr>
      <w:r>
        <w:rPr>
          <w:sz w:val="17"/>
        </w:rPr>
        <w:t>Global Trade Alert, New Industrial Policy Observatory: industrial-policy interventions, strength scored by the authors, October 2026 extract (as of 5 October 2026); subscription (titles, dates and links only); https://www.globaltradealert.org/.</w:t>
      </w:r>
    </w:p>
    <w:p>
      <w:pPr>
        <w:pStyle w:val="ListNumber"/>
      </w:pPr>
      <w:r>
        <w:rPr>
          <w:sz w:val="17"/>
        </w:rPr>
        <w:t>Economic-security agreements: G7, NATO, Indo-Pacific Economic Framework, Minerals Security Partnership (and Forum), U.S. free-trade agreements (compiled by the authors from official membership lists).</w:t>
      </w:r>
    </w:p>
    <w:p>
      <w:pPr>
        <w:pStyle w:val="ListNumber"/>
      </w:pPr>
      <w:r>
        <w:rPr>
          <w:sz w:val="17"/>
        </w:rPr>
        <w:t>Bailey, M., Strezhnev, A. and Voeten, E., United Nations General Assembly Voting Data, ideal points (Harvard Dataverse V39.0) (sessions to 2023); attribution; https://dataverse.harvard.edu/dataset.xhtml?persistentId=hdl:1902.1/12379.</w:t>
      </w:r>
    </w:p>
    <w:p>
      <w:pPr>
        <w:pStyle w:val="ListNumber"/>
      </w:pPr>
      <w:r>
        <w:rPr>
          <w:sz w:val="17"/>
        </w:rPr>
        <w:t>Allied network design (the paper's model design of coalition production shares).</w:t>
      </w:r>
    </w:p>
    <w:p>
      <w:pPr>
        <w:pBdr>
          <w:top w:val="single" w:sz="4" w:space="4" w:color="D1D5DB"/>
        </w:pBdr>
      </w:pPr>
      <w:r>
        <w:rPr>
          <w:i/>
          <w:color w:val="4B5563"/>
          <w:sz w:val="18"/>
        </w:rPr>
        <w:t>AI-generated from the data and checked against it; paper baseline as of 12 October 2026.</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i/>
        <w:color w:val="4B5563"/>
        <w:sz w:val="16"/>
      </w:rPr>
      <w:t>AI-generated from the data and checked against it; paper baseline as of 12 October 2026.  Allied Industrial Base Explorer, Country Insights: Poland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11827"/>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1182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11182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11182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Poland: energy security, economic opportunity and partnership priorities</dc:title>
  <dc:subject>Country Insights policy memo</dc:subject>
  <dc:creator>NEIS Center, Allied Industrial Base Explorer (AI-generated, checked against the data)</dc:creator>
  <cp:keywords>energy security; economic opportunity; Strategic Index; Partnership Strength Index; POL</cp:keywords>
  <dc:description>paper baseline as of 12 October 2026; fact sheet sha256 5d1aaf2aaa44a99c69a70f4cc371b790bcc94db9018afcee60fa5b7f985d5e0c</dc:description>
  <cp:lastModifiedBy/>
  <cp:revision>1</cp:revision>
  <dcterms:created xsi:type="dcterms:W3CDTF">2013-12-23T23:15:00Z</dcterms:created>
  <dcterms:modified xsi:type="dcterms:W3CDTF">2013-12-23T23:15:00Z</dcterms:modified>
  <cp:category/>
</cp:coreProperties>
</file>