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Portugal: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Portugal</w:t>
            </w:r>
            <w:r>
              <w:t xml:space="preserve">'s lowest Energy Security percentiles are in </w:t>
            </w:r>
            <w:r>
              <w:t>downstream coal</w:t>
            </w:r>
            <w:r>
              <w:t xml:space="preserve"> and </w:t>
            </w:r>
            <w:r>
              <w:t>downstream gas</w:t>
            </w:r>
            <w:r>
              <w:t xml:space="preserve">, where it scores higher than only </w:t>
            </w:r>
            <w:r>
              <w:t>1%</w:t>
            </w:r>
            <w:r>
              <w:t xml:space="preserve"> and </w:t>
            </w:r>
            <w:r>
              <w:t>3%</w:t>
            </w:r>
            <w:r>
              <w:t xml:space="preserve"> of the other economies scored. Low and falling use per person pulls both scores down.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highest Economic Opportunity percentiles are in </w:t>
            </w:r>
            <w:r>
              <w:t>downstream geothermal</w:t>
            </w:r>
            <w:r>
              <w:t xml:space="preserve">, </w:t>
            </w:r>
            <w:r>
              <w:t>midstream oil</w:t>
            </w:r>
            <w:r>
              <w:t xml:space="preserve"> and </w:t>
            </w:r>
            <w:r>
              <w:t>midstream coal</w:t>
            </w:r>
            <w:r>
              <w:t xml:space="preserve">, higher than </w:t>
            </w:r>
            <w:r>
              <w:t>98%</w:t>
            </w:r>
            <w:r>
              <w:t xml:space="preserve">, </w:t>
            </w:r>
            <w:r>
              <w:t>97%</w:t>
            </w:r>
            <w:r>
              <w:t xml:space="preserve"> and </w:t>
            </w:r>
            <w:r>
              <w:t>97%</w:t>
            </w:r>
            <w:r>
              <w:t xml:space="preserve"> of the other economies scored, mainly because of its cost competitiveness.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the Strategic Index ranks </w:t>
            </w:r>
            <w:r>
              <w:t>downstream batteries</w:t>
            </w:r>
            <w:r>
              <w:t xml:space="preserve"> </w:t>
            </w:r>
            <w:r>
              <w:t>1st</w:t>
            </w:r>
            <w:r>
              <w:t xml:space="preserve"> and </w:t>
            </w:r>
            <w:r>
              <w:t>upstream wind</w:t>
            </w:r>
            <w:r>
              <w:t xml:space="preserve"> </w:t>
            </w:r>
            <w:r>
              <w:t>2nd</w:t>
            </w:r>
            <w:r>
              <w:t xml:space="preserve"> among </w:t>
            </w:r>
            <w:r>
              <w:t>Portugal</w:t>
            </w:r>
            <w:r>
              <w:t xml:space="preserve">'s own sectors. Policy activity ranks the former </w:t>
            </w:r>
            <w:r>
              <w:t>1st</w:t>
            </w:r>
            <w:r>
              <w:t xml:space="preserve"> but the latter only </w:t>
            </w:r>
            <w:r>
              <w:t>11th</w:t>
            </w:r>
            <w:r>
              <w:t>.</w:t>
            </w:r>
            <w:r>
              <w:rPr>
                <w:color w:val="4B5563"/>
                <w:vertAlign w:val="superscript"/>
              </w:rPr>
              <w:t>1,2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Spain</w:t>
            </w:r>
            <w:r>
              <w:t xml:space="preserve"> highest for </w:t>
            </w:r>
            <w:r>
              <w:t>Portugal</w:t>
            </w:r>
            <w:r>
              <w:t xml:space="preserve">, as a </w:t>
            </w:r>
            <w:r>
              <w:t>reliable supplier</w:t>
            </w:r>
            <w:r>
              <w:t xml:space="preserve">; it is also its </w:t>
            </w:r>
            <w:r>
              <w:t>1st</w:t>
            </w:r>
            <w:r>
              <w:t xml:space="preserve"> trade partner. </w:t>
            </w:r>
            <w:r>
              <w:t>China</w:t>
            </w:r>
            <w:r>
              <w:t xml:space="preserve">, its </w:t>
            </w:r>
            <w:r>
              <w:t>2nd</w:t>
            </w:r>
            <w:r>
              <w:t xml:space="preserve"> trade partner, ranks only </w:t>
            </w:r>
            <w:r>
              <w:t>65th</w:t>
            </w:r>
            <w:r>
              <w:t xml:space="preserve"> on Partnership Strength.</w:t>
            </w:r>
            <w:r>
              <w:rPr>
                <w:color w:val="4B5563"/>
                <w:vertAlign w:val="superscript"/>
              </w:rPr>
              <w:t>1,3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11</w:t>
      </w:r>
      <w:r>
        <w:t xml:space="preserve"> of </w:t>
      </w:r>
      <w:r>
        <w:t>Portugal</w:t>
      </w:r>
      <w:r>
        <w:t xml:space="preserve">'s </w:t>
      </w:r>
      <w:r>
        <w:t>30</w:t>
      </w:r>
      <w:r>
        <w:t xml:space="preserve"> placed sectors sit in the two low-energy-security corners, below the middle economy of their sector on Energy Security, which measures how well a country can rely on what it needs. Its lowest Energy Security percentiles are in </w:t>
      </w:r>
      <w:r>
        <w:t>downstream coal</w:t>
      </w:r>
      <w:r>
        <w:t xml:space="preserve"> (score </w:t>
      </w:r>
      <w:r>
        <w:t>0.29</w:t>
      </w:r>
      <w:r>
        <w:t xml:space="preserve">, </w:t>
      </w:r>
      <w:r>
        <w:t>Secure</w:t>
      </w:r>
      <w:r>
        <w:t xml:space="preserve"> corner) and </w:t>
      </w:r>
      <w:r>
        <w:t>downstream gas</w:t>
      </w:r>
      <w:r>
        <w:t xml:space="preserve"> (</w:t>
      </w:r>
      <w:r>
        <w:t>0.35</w:t>
      </w:r>
      <w:r>
        <w:t xml:space="preserve">, </w:t>
      </w:r>
      <w:r>
        <w:t>Secure</w:t>
      </w:r>
      <w:r>
        <w:t xml:space="preserve"> corner), higher than only </w:t>
      </w:r>
      <w:r>
        <w:t>1%</w:t>
      </w:r>
      <w:r>
        <w:t xml:space="preserve"> and </w:t>
      </w:r>
      <w:r>
        <w:t>3%</w:t>
      </w:r>
      <w:r>
        <w:t xml:space="preserve"> of the other economies scored. Both are pulled down mainly by the </w:t>
      </w:r>
      <w:r>
        <w:t>energy access</w:t>
      </w:r>
      <w:r>
        <w:t xml:space="preserve"> category, which measures use per person and its change. Over the years to </w:t>
      </w:r>
      <w:r>
        <w:t>2025</w:t>
      </w:r>
      <w:r>
        <w:t xml:space="preserve">, coal use per person changed by </w:t>
      </w:r>
      <w:r>
        <w:t>-99.1%</w:t>
      </w:r>
      <w:r>
        <w:t xml:space="preserve">, to </w:t>
      </w:r>
      <w:r>
        <w:t>0.0201 GJ per person</w:t>
      </w:r>
      <w:r>
        <w:t xml:space="preserve">; gas use changed by </w:t>
      </w:r>
      <w:r>
        <w:t>-32.5%</w:t>
      </w:r>
      <w:r>
        <w:t xml:space="preserve">, to </w:t>
      </w:r>
      <w:r>
        <w:t>14.1 GJ per person</w:t>
      </w:r>
      <w:r>
        <w:t>.</w:t>
      </w:r>
      <w:r>
        <w:rPr>
          <w:color w:val="4B5563"/>
          <w:vertAlign w:val="superscript"/>
        </w:rPr>
        <w:t>1,4</w:t>
      </w:r>
    </w:p>
    <w:p>
      <w:r>
        <w:t xml:space="preserve">Next come </w:t>
      </w:r>
      <w:r>
        <w:t>upstream oil</w:t>
      </w:r>
      <w:r>
        <w:t xml:space="preserve"> (</w:t>
      </w:r>
      <w:r>
        <w:t>0.36</w:t>
      </w:r>
      <w:r>
        <w:t xml:space="preserve">, </w:t>
      </w:r>
      <w:r>
        <w:t>Upgrade</w:t>
      </w:r>
      <w:r>
        <w:t xml:space="preserve"> corner) and </w:t>
      </w:r>
      <w:r>
        <w:t>upstream gas</w:t>
      </w:r>
      <w:r>
        <w:t xml:space="preserve"> (</w:t>
      </w:r>
      <w:r>
        <w:t>0.26</w:t>
      </w:r>
      <w:r>
        <w:t xml:space="preserve">, </w:t>
      </w:r>
      <w:r>
        <w:t>Upgrade</w:t>
      </w:r>
      <w:r>
        <w:t xml:space="preserve"> corner), higher than </w:t>
      </w:r>
      <w:r>
        <w:t>11%</w:t>
      </w:r>
      <w:r>
        <w:t xml:space="preserve"> and </w:t>
      </w:r>
      <w:r>
        <w:t>12%</w:t>
      </w:r>
      <w:r>
        <w:t xml:space="preserve"> of the other economies scored. Both are low mainly because of </w:t>
      </w:r>
      <w:r>
        <w:t>energy imports</w:t>
      </w:r>
      <w:r>
        <w:t xml:space="preserve"> and </w:t>
      </w:r>
      <w:r>
        <w:t>reserves</w:t>
      </w:r>
      <w:r>
        <w:t xml:space="preserve">. Production minus consumption was </w:t>
      </w:r>
      <w:r>
        <w:t>-0.445 EJ</w:t>
      </w:r>
      <w:r>
        <w:t xml:space="preserve"> for oil and </w:t>
      </w:r>
      <w:r>
        <w:t>-0.147 EJ</w:t>
      </w:r>
      <w:r>
        <w:t xml:space="preserve"> for gas in </w:t>
      </w:r>
      <w:r>
        <w:t>2025</w:t>
      </w:r>
      <w:r>
        <w:t xml:space="preserve">. Both figures take </w:t>
      </w:r>
      <w:r>
        <w:t>production from the U.S. Energy Information Administration's international statistics, as the Energy Institute does not report it separately</w:t>
      </w:r>
      <w:r>
        <w:t xml:space="preserve">. No oil or gas reserves are recorded, which the index counts as zero. For context, its largest suppliers of </w:t>
      </w:r>
      <w:r>
        <w:t>upstream oil</w:t>
      </w:r>
      <w:r>
        <w:t xml:space="preserve"> in </w:t>
      </w:r>
      <w:r>
        <w:t>2024</w:t>
      </w:r>
      <w:r>
        <w:t xml:space="preserve"> were </w:t>
      </w:r>
      <w:r>
        <w:t>Brazil</w:t>
      </w:r>
      <w:r>
        <w:t xml:space="preserve"> (</w:t>
      </w:r>
      <w:r>
        <w:t>29.9%</w:t>
      </w:r>
      <w:r>
        <w:t xml:space="preserve"> of imports) and </w:t>
      </w:r>
      <w:r>
        <w:t>Algeria</w:t>
      </w:r>
      <w:r>
        <w:t xml:space="preserve"> (</w:t>
      </w:r>
      <w:r>
        <w:t>13.1%</w:t>
      </w:r>
      <w:r>
        <w:t>).</w:t>
      </w:r>
      <w:r>
        <w:rPr>
          <w:color w:val="4B5563"/>
          <w:vertAlign w:val="superscript"/>
        </w:rPr>
        <w:t>1,3,4,5</w:t>
      </w:r>
    </w:p>
    <w:p>
      <w:r>
        <w:t xml:space="preserve">Its high-priority sectors, </w:t>
      </w:r>
      <w:r>
        <w:t>upstream wind, upstream electric grid and upstream green hydrogen</w:t>
      </w:r>
      <w:r>
        <w:t xml:space="preserve">, sit in the </w:t>
      </w:r>
      <w:r>
        <w:t>Upgrade</w:t>
      </w:r>
      <w:r>
        <w:t xml:space="preserve"> corner, which pairs high opportunity with low energy security. In </w:t>
      </w:r>
      <w:r>
        <w:t>upstream wind</w:t>
      </w:r>
      <w:r>
        <w:t xml:space="preserve">, its Energy Security of </w:t>
      </w:r>
      <w:r>
        <w:t>0.25</w:t>
      </w:r>
      <w:r>
        <w:t xml:space="preserve"> sits just under the sector median of </w:t>
      </w:r>
      <w:r>
        <w:t>0.26</w:t>
      </w:r>
      <w:r>
        <w:t xml:space="preserve">, mainly because of the </w:t>
      </w:r>
      <w:r>
        <w:t>trade</w:t>
      </w:r>
      <w:r>
        <w:t xml:space="preserve"> category. Its trade deficit in these goods was </w:t>
      </w:r>
      <w:r>
        <w:t>&lt;0.1% of GDP</w:t>
      </w:r>
      <w:r>
        <w:t xml:space="preserve"> in </w:t>
      </w:r>
      <w:r>
        <w:t>2023</w:t>
      </w:r>
      <w:r>
        <w:t xml:space="preserve">, a measure on which it scores higher than </w:t>
      </w:r>
      <w:r>
        <w:t>23%</w:t>
      </w:r>
      <w:r>
        <w:t xml:space="preserve"> of the other economies. For context, its </w:t>
      </w:r>
      <w:r>
        <w:t>upstream wind</w:t>
      </w:r>
      <w:r>
        <w:t xml:space="preserve"> imports totalled </w:t>
      </w:r>
      <w:r>
        <w:t>USD 264 k</w:t>
      </w:r>
      <w:r>
        <w:t xml:space="preserve"> in </w:t>
      </w:r>
      <w:r>
        <w:t>2024</w:t>
      </w:r>
      <w:r>
        <w:t xml:space="preserve">; </w:t>
      </w:r>
      <w:r>
        <w:t>China</w:t>
      </w:r>
      <w:r>
        <w:t xml:space="preserve"> supplied </w:t>
      </w:r>
      <w:r>
        <w:t>48.5%</w:t>
      </w:r>
      <w:r>
        <w:t xml:space="preserve"> and </w:t>
      </w:r>
      <w:r>
        <w:t>Austria</w:t>
      </w:r>
      <w:r>
        <w:t xml:space="preserve"> </w:t>
      </w:r>
      <w:r>
        <w:t>39.3%</w:t>
      </w:r>
      <w:r>
        <w:t>.</w:t>
      </w:r>
      <w:r>
        <w:rPr>
          <w:color w:val="4B5563"/>
          <w:vertAlign w:val="superscript"/>
        </w:rPr>
        <w:t>1,3,6</w:t>
      </w:r>
    </w:p>
    <w:p>
      <w:pPr>
        <w:pStyle w:val="Heading1"/>
      </w:pPr>
      <w:r>
        <w:t>2. Economic opportunities and why</w:t>
      </w:r>
    </w:p>
    <w:p>
      <w:r>
        <w:t>28</w:t>
      </w:r>
      <w:r>
        <w:t xml:space="preserve"> of its </w:t>
      </w:r>
      <w:r>
        <w:t>30</w:t>
      </w:r>
      <w:r>
        <w:t xml:space="preserve"> placed sectors sit in the two high-opportunity corners, above the middle economy of their sector on Economic Opportunity, which measures how well placed a country is to create value. Its highest Economic Opportunity percentiles are in </w:t>
      </w:r>
      <w:r>
        <w:t>downstream geothermal</w:t>
      </w:r>
      <w:r>
        <w:t xml:space="preserve"> (</w:t>
      </w:r>
      <w:r>
        <w:t>0.42</w:t>
      </w:r>
      <w:r>
        <w:t xml:space="preserve">), </w:t>
      </w:r>
      <w:r>
        <w:t>midstream oil</w:t>
      </w:r>
      <w:r>
        <w:t xml:space="preserve"> (</w:t>
      </w:r>
      <w:r>
        <w:t>0.66</w:t>
      </w:r>
      <w:r>
        <w:t xml:space="preserve">) and </w:t>
      </w:r>
      <w:r>
        <w:t>midstream coal</w:t>
      </w:r>
      <w:r>
        <w:t xml:space="preserve"> (</w:t>
      </w:r>
      <w:r>
        <w:t>0.54</w:t>
      </w:r>
      <w:r>
        <w:t xml:space="preserve">). There it scores higher than </w:t>
      </w:r>
      <w:r>
        <w:t>98%</w:t>
      </w:r>
      <w:r>
        <w:t xml:space="preserve">, </w:t>
      </w:r>
      <w:r>
        <w:t>97%</w:t>
      </w:r>
      <w:r>
        <w:t xml:space="preserve"> and </w:t>
      </w:r>
      <w:r>
        <w:t>97%</w:t>
      </w:r>
      <w:r>
        <w:t xml:space="preserve"> of the other economies scored. Each sits in the </w:t>
      </w:r>
      <w:r>
        <w:t>Grow</w:t>
      </w:r>
      <w:r>
        <w:t xml:space="preserve"> corner, which the framework associates with building on strength through export promotion.</w:t>
      </w:r>
      <w:r>
        <w:rPr>
          <w:color w:val="4B5563"/>
          <w:vertAlign w:val="superscript"/>
        </w:rPr>
        <w:t>1</w:t>
      </w:r>
    </w:p>
    <w:p>
      <w:r>
        <w:t xml:space="preserve">Cost competitiveness pushes each of them up: on input costs for labour and capital, </w:t>
      </w:r>
      <w:r>
        <w:t>Portugal</w:t>
      </w:r>
      <w:r>
        <w:t xml:space="preserve"> scores higher than </w:t>
      </w:r>
      <w:r>
        <w:t>98%</w:t>
      </w:r>
      <w:r>
        <w:t xml:space="preserve"> of the other economies in </w:t>
      </w:r>
      <w:r>
        <w:t>midstream oil</w:t>
      </w:r>
      <w:r>
        <w:t xml:space="preserve">. In the midstream sectors the </w:t>
      </w:r>
      <w:r>
        <w:t>trade</w:t>
      </w:r>
      <w:r>
        <w:t xml:space="preserve"> category adds to the score. Export feasibility, how close these goods are to what it already exports well, was </w:t>
      </w:r>
      <w:r>
        <w:t>0.36</w:t>
      </w:r>
      <w:r>
        <w:t xml:space="preserve"> in </w:t>
      </w:r>
      <w:r>
        <w:t>midstream oil</w:t>
      </w:r>
      <w:r>
        <w:t xml:space="preserve"> and </w:t>
      </w:r>
      <w:r>
        <w:t>0.36</w:t>
      </w:r>
      <w:r>
        <w:t xml:space="preserve"> in </w:t>
      </w:r>
      <w:r>
        <w:t>midstream coal</w:t>
      </w:r>
      <w:r>
        <w:t xml:space="preserve"> in </w:t>
      </w:r>
      <w:r>
        <w:t>2023</w:t>
      </w:r>
      <w:r>
        <w:t xml:space="preserve">. For context, its largest markets for </w:t>
      </w:r>
      <w:r>
        <w:t>midstream oil</w:t>
      </w:r>
      <w:r>
        <w:t xml:space="preserve"> in </w:t>
      </w:r>
      <w:r>
        <w:t>2024</w:t>
      </w:r>
      <w:r>
        <w:t xml:space="preserve"> were </w:t>
      </w:r>
      <w:r>
        <w:t>Spain</w:t>
      </w:r>
      <w:r>
        <w:t xml:space="preserve"> (</w:t>
      </w:r>
      <w:r>
        <w:t>21.1%</w:t>
      </w:r>
      <w:r>
        <w:t xml:space="preserve">) and the </w:t>
      </w:r>
      <w:r>
        <w:t>United Kingdom</w:t>
      </w:r>
      <w:r>
        <w:t xml:space="preserve"> (</w:t>
      </w:r>
      <w:r>
        <w:t>11.4%</w:t>
      </w:r>
      <w:r>
        <w:t>).</w:t>
      </w:r>
      <w:r>
        <w:rPr>
          <w:color w:val="4B5563"/>
          <w:vertAlign w:val="superscript"/>
        </w:rPr>
        <w:t>1,3,6</w:t>
      </w:r>
    </w:p>
    <w:p>
      <w:r>
        <w:t xml:space="preserve">The same </w:t>
      </w:r>
      <w:r>
        <w:t>cost competitiveness</w:t>
      </w:r>
      <w:r>
        <w:t xml:space="preserve"> and </w:t>
      </w:r>
      <w:r>
        <w:t>trade</w:t>
      </w:r>
      <w:r>
        <w:t xml:space="preserve"> categories push up its opportunity in </w:t>
      </w:r>
      <w:r>
        <w:t>upstream wind</w:t>
      </w:r>
      <w:r>
        <w:t xml:space="preserve"> and </w:t>
      </w:r>
      <w:r>
        <w:t>upstream electric grid</w:t>
      </w:r>
      <w:r>
        <w:t xml:space="preserve">, which are high-priority sectors. In </w:t>
      </w:r>
      <w:r>
        <w:t>upstream wind</w:t>
      </w:r>
      <w:r>
        <w:t xml:space="preserve">, where its Economic Opportunity is higher than </w:t>
      </w:r>
      <w:r>
        <w:t>92%</w:t>
      </w:r>
      <w:r>
        <w:t xml:space="preserve"> of the other economies scored, it scores higher than </w:t>
      </w:r>
      <w:r>
        <w:t>94%</w:t>
      </w:r>
      <w:r>
        <w:t xml:space="preserve"> of them on input costs.</w:t>
      </w:r>
      <w:r>
        <w:rPr>
          <w:color w:val="4B5563"/>
          <w:vertAlign w:val="superscript"/>
        </w:rPr>
        <w:t>1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opportunity, security need, policy activity, stage and low-emission value. On the paper's weighting, it ranks </w:t>
      </w:r>
      <w:r>
        <w:t>downstream batteries</w:t>
      </w:r>
      <w:r>
        <w:t xml:space="preserve"> </w:t>
      </w:r>
      <w:r>
        <w:t>1st</w:t>
      </w:r>
      <w:r>
        <w:t xml:space="preserve"> among </w:t>
      </w:r>
      <w:r>
        <w:t>Portugal</w:t>
      </w:r>
      <w:r>
        <w:t xml:space="preserve">'s own sectors, at </w:t>
      </w:r>
      <w:r>
        <w:t>0.67</w:t>
      </w:r>
      <w:r>
        <w:t xml:space="preserve">, </w:t>
      </w:r>
      <w:r>
        <w:t>0.013</w:t>
      </w:r>
      <w:r>
        <w:t xml:space="preserve"> ahead of the next. Its lead rests on policy activity, where it ranks </w:t>
      </w:r>
      <w:r>
        <w:t>1st</w:t>
      </w:r>
      <w:r>
        <w:t xml:space="preserve">; on priority, the Strategic Index without its policy term, it ranks </w:t>
      </w:r>
      <w:r>
        <w:t>13th</w:t>
      </w:r>
      <w:r>
        <w:t xml:space="preserve">. Next come </w:t>
      </w:r>
      <w:r>
        <w:t>upstream wind</w:t>
      </w:r>
      <w:r>
        <w:t xml:space="preserve"> (</w:t>
      </w:r>
      <w:r>
        <w:t>2nd</w:t>
      </w:r>
      <w:r>
        <w:t xml:space="preserve">), </w:t>
      </w:r>
      <w:r>
        <w:t>midstream batteries</w:t>
      </w:r>
      <w:r>
        <w:t xml:space="preserve"> (</w:t>
      </w:r>
      <w:r>
        <w:t>3rd</w:t>
      </w:r>
      <w:r>
        <w:t xml:space="preserve">), </w:t>
      </w:r>
      <w:r>
        <w:t>upstream nuclear</w:t>
      </w:r>
      <w:r>
        <w:t xml:space="preserve"> (</w:t>
      </w:r>
      <w:r>
        <w:t>4th</w:t>
      </w:r>
      <w:r>
        <w:t xml:space="preserve">) and </w:t>
      </w:r>
      <w:r>
        <w:t>upstream electric grid</w:t>
      </w:r>
      <w:r>
        <w:t xml:space="preserve"> (</w:t>
      </w:r>
      <w:r>
        <w:t>5th</w:t>
      </w:r>
      <w:r>
        <w:t xml:space="preserve">). Each is almost tied with the sector below it, by </w:t>
      </w:r>
      <w:r>
        <w:t>0.008</w:t>
      </w:r>
      <w:r>
        <w:t xml:space="preserve">, </w:t>
      </w:r>
      <w:r>
        <w:t>0.001</w:t>
      </w:r>
      <w:r>
        <w:t xml:space="preserve">, </w:t>
      </w:r>
      <w:r>
        <w:t>0.004</w:t>
      </w:r>
      <w:r>
        <w:t xml:space="preserve"> and </w:t>
      </w:r>
      <w:r>
        <w:t>0.003</w:t>
      </w:r>
      <w:r>
        <w:t>.</w:t>
      </w:r>
      <w:r>
        <w:rPr>
          <w:color w:val="4B5563"/>
          <w:vertAlign w:val="superscript"/>
        </w:rPr>
        <w:t>1,2</w:t>
      </w:r>
    </w:p>
    <w:p>
      <w:r>
        <w:t>Portugal</w:t>
      </w:r>
      <w:r>
        <w:t xml:space="preserve">'s allied pick, its top upstream or midstream sector after a resource screen, is </w:t>
      </w:r>
      <w:r>
        <w:t>midstream batteries</w:t>
      </w:r>
      <w:r>
        <w:t xml:space="preserve">, almost tied with </w:t>
      </w:r>
      <w:r>
        <w:t>upstream nuclear</w:t>
      </w:r>
      <w:r>
        <w:t xml:space="preserve"> (</w:t>
      </w:r>
      <w:r>
        <w:t>0.001</w:t>
      </w:r>
      <w:r>
        <w:t xml:space="preserve"> apart). The higher-ranked </w:t>
      </w:r>
      <w:r>
        <w:t>upstream wind</w:t>
      </w:r>
      <w:r>
        <w:t xml:space="preserve"> is screened out, as the data record no resource base for it.</w:t>
      </w:r>
      <w:r>
        <w:rPr>
          <w:color w:val="4B5563"/>
          <w:vertAlign w:val="superscript"/>
        </w:rPr>
        <w:t>7</w:t>
      </w:r>
    </w:p>
    <w:p>
      <w:r>
        <w:t xml:space="preserve">Policy activity counts International Energy Agency policy records and the Climate Action Tracker rating, which favours low-emission technologies over coal, oil and gas. </w:t>
      </w:r>
      <w:r>
        <w:t>Portugal</w:t>
      </w:r>
      <w:r>
        <w:t xml:space="preserve"> has </w:t>
      </w:r>
      <w:r>
        <w:t>261</w:t>
      </w:r>
      <w:r>
        <w:t xml:space="preserve"> such records, </w:t>
      </w:r>
      <w:r>
        <w:t>144</w:t>
      </w:r>
      <w:r>
        <w:t xml:space="preserve"> of which name a technology, and carries the European Union's Climate Action Tracker rating, </w:t>
      </w:r>
      <w:r>
        <w:t>Insufficient</w:t>
      </w:r>
      <w:r>
        <w:t xml:space="preserve">. Policy activity and priority partly agree: no top priority has the least policy. Among the top priorities, policy activity is weakest in </w:t>
      </w:r>
      <w:r>
        <w:t>upstream green hydrogen</w:t>
      </w:r>
      <w:r>
        <w:t xml:space="preserve"> and </w:t>
      </w:r>
      <w:r>
        <w:t>midstream green hydrogen</w:t>
      </w:r>
      <w:r>
        <w:t xml:space="preserve">, both in the </w:t>
      </w:r>
      <w:r>
        <w:t>top third</w:t>
      </w:r>
      <w:r>
        <w:t xml:space="preserve"> on priority but only </w:t>
      </w:r>
      <w:r>
        <w:t>20th</w:t>
      </w:r>
      <w:r>
        <w:t xml:space="preserve"> and </w:t>
      </w:r>
      <w:r>
        <w:t>19th</w:t>
      </w:r>
      <w:r>
        <w:t xml:space="preserve"> on policy. Among the bottom priorities, the most policy goes to </w:t>
      </w:r>
      <w:r>
        <w:t>downstream green hydrogen</w:t>
      </w:r>
      <w:r>
        <w:t xml:space="preserve"> and the least to </w:t>
      </w:r>
      <w:r>
        <w:t>7</w:t>
      </w:r>
      <w:r>
        <w:t xml:space="preserve"> coal, oil and gas sectors. For context, the Country Insights page lists, by sector, the strongest active industrial-policy measures that Global Trade Alert records under </w:t>
      </w:r>
      <w:r>
        <w:t>Portugal</w:t>
      </w:r>
      <w:r>
        <w:t>, including EU-wide ones; they do not count towards policy activity.</w:t>
      </w:r>
      <w:r>
        <w:rPr>
          <w:color w:val="4B5563"/>
          <w:vertAlign w:val="superscript"/>
        </w:rPr>
        <w:t>1,2,8</w:t>
      </w:r>
    </w:p>
    <w:p>
      <w:pPr>
        <w:pStyle w:val="Heading1"/>
      </w:pPr>
      <w:r>
        <w:t>4. Partnership priorities and why</w:t>
      </w:r>
    </w:p>
    <w:p>
      <w:r>
        <w:t xml:space="preserve">From </w:t>
      </w:r>
      <w:r>
        <w:t>Portugal</w:t>
      </w:r>
      <w:r>
        <w:t xml:space="preserve">'s viewpoint, the Partnership Strength Index rates </w:t>
      </w:r>
      <w:r>
        <w:t>Spain</w:t>
      </w:r>
      <w:r>
        <w:t xml:space="preserve"> highest, as a </w:t>
      </w:r>
      <w:r>
        <w:t>reliable supplier</w:t>
      </w:r>
      <w:r>
        <w:t xml:space="preserve"> strongest in </w:t>
      </w:r>
      <w:r>
        <w:t>midstream wind, upstream solar, midstream solar, midstream electric vehicles and upstream electric grid</w:t>
      </w:r>
      <w:r>
        <w:t xml:space="preserve">. The index combines how reliable a supplier a partner is (Friendshore), how good a market it is (Partnership Opportunity) and, for lower-income partners, Development Potential. The </w:t>
      </w:r>
      <w:r>
        <w:t>Netherlands</w:t>
      </w:r>
      <w:r>
        <w:t xml:space="preserve"> ranks </w:t>
      </w:r>
      <w:r>
        <w:t>2nd</w:t>
      </w:r>
      <w:r>
        <w:t xml:space="preserve">, also as a </w:t>
      </w:r>
      <w:r>
        <w:t>reliable supplier</w:t>
      </w:r>
      <w:r>
        <w:t xml:space="preserve">, followed by </w:t>
      </w:r>
      <w:r>
        <w:t>France</w:t>
      </w:r>
      <w:r>
        <w:t xml:space="preserve"> (</w:t>
      </w:r>
      <w:r>
        <w:t>3rd</w:t>
      </w:r>
      <w:r>
        <w:t xml:space="preserve">, </w:t>
      </w:r>
      <w:r>
        <w:t>export market</w:t>
      </w:r>
      <w:r>
        <w:t xml:space="preserve">) and </w:t>
      </w:r>
      <w:r>
        <w:t>Germany</w:t>
      </w:r>
      <w:r>
        <w:t xml:space="preserve"> (</w:t>
      </w:r>
      <w:r>
        <w:t>4th</w:t>
      </w:r>
      <w:r>
        <w:t xml:space="preserve">, </w:t>
      </w:r>
      <w:r>
        <w:t>export market</w:t>
      </w:r>
      <w:r>
        <w:t>).</w:t>
      </w:r>
      <w:r>
        <w:rPr>
          <w:color w:val="4B5563"/>
          <w:vertAlign w:val="superscript"/>
        </w:rPr>
        <w:t>1</w:t>
      </w:r>
    </w:p>
    <w:p>
      <w:r>
        <w:t xml:space="preserve">Today's ties match these ranks in part. </w:t>
      </w:r>
      <w:r>
        <w:t>Spain</w:t>
      </w:r>
      <w:r>
        <w:t xml:space="preserve">, </w:t>
      </w:r>
      <w:r>
        <w:t>France</w:t>
      </w:r>
      <w:r>
        <w:t xml:space="preserve"> and </w:t>
      </w:r>
      <w:r>
        <w:t>Germany</w:t>
      </w:r>
      <w:r>
        <w:t xml:space="preserve"> are its </w:t>
      </w:r>
      <w:r>
        <w:t>1st</w:t>
      </w:r>
      <w:r>
        <w:t xml:space="preserve">, </w:t>
      </w:r>
      <w:r>
        <w:t>3rd</w:t>
      </w:r>
      <w:r>
        <w:t xml:space="preserve"> and </w:t>
      </w:r>
      <w:r>
        <w:t>4th</w:t>
      </w:r>
      <w:r>
        <w:t xml:space="preserve"> trade partners on average across its energy-goods baskets. The </w:t>
      </w:r>
      <w:r>
        <w:t>Netherlands</w:t>
      </w:r>
      <w:r>
        <w:t xml:space="preserve">, by contrast, is only its </w:t>
      </w:r>
      <w:r>
        <w:t>12th</w:t>
      </w:r>
      <w:r>
        <w:t xml:space="preserve">. Conversely, </w:t>
      </w:r>
      <w:r>
        <w:t>China</w:t>
      </w:r>
      <w:r>
        <w:t xml:space="preserve"> is its </w:t>
      </w:r>
      <w:r>
        <w:t>2nd</w:t>
      </w:r>
      <w:r>
        <w:t xml:space="preserve"> trade partner, yet ranks </w:t>
      </w:r>
      <w:r>
        <w:t>65th</w:t>
      </w:r>
      <w:r>
        <w:t xml:space="preserve"> on Partnership Strength and rates best as a </w:t>
      </w:r>
      <w:r>
        <w:t>development partner</w:t>
      </w:r>
      <w:r>
        <w:t xml:space="preserve">. </w:t>
      </w:r>
      <w:r>
        <w:t>Spain</w:t>
      </w:r>
      <w:r>
        <w:t xml:space="preserve">, the </w:t>
      </w:r>
      <w:r>
        <w:t>Netherlands</w:t>
      </w:r>
      <w:r>
        <w:t xml:space="preserve">, </w:t>
      </w:r>
      <w:r>
        <w:t>France</w:t>
      </w:r>
      <w:r>
        <w:t xml:space="preserve"> and </w:t>
      </w:r>
      <w:r>
        <w:t>Germany</w:t>
      </w:r>
      <w:r>
        <w:t xml:space="preserve"> each share </w:t>
      </w:r>
      <w:r>
        <w:t>NATO</w:t>
      </w:r>
      <w:r>
        <w:t xml:space="preserve"> membership with </w:t>
      </w:r>
      <w:r>
        <w:t>Portugal</w:t>
      </w:r>
      <w:r>
        <w:t xml:space="preserve"> and vote in the </w:t>
      </w:r>
      <w:r>
        <w:t>same bloc</w:t>
      </w:r>
      <w:r>
        <w:t xml:space="preserve"> at the United Nations. </w:t>
      </w:r>
      <w:r>
        <w:t>China</w:t>
      </w:r>
      <w:r>
        <w:t xml:space="preserve"> shares none of its economic-security agreements, and their votes put them in </w:t>
      </w:r>
      <w:r>
        <w:t>opposite blocs</w:t>
      </w:r>
      <w:r>
        <w:t>.</w:t>
      </w:r>
      <w:r>
        <w:rPr>
          <w:color w:val="4B5563"/>
          <w:vertAlign w:val="superscript"/>
        </w:rPr>
        <w:t>1,3,9,10</w:t>
      </w:r>
    </w:p>
    <w:p>
      <w:r>
        <w:t xml:space="preserve">As a partner to the coalition, </w:t>
      </w:r>
      <w:r>
        <w:t>Portugal</w:t>
      </w:r>
      <w:r>
        <w:t xml:space="preserve"> ranks </w:t>
      </w:r>
      <w:r>
        <w:t>16th</w:t>
      </w:r>
      <w:r>
        <w:t xml:space="preserve"> of </w:t>
      </w:r>
      <w:r>
        <w:t>192</w:t>
      </w:r>
      <w:r>
        <w:t xml:space="preserve"> economies on Partnership Strength averaged over the core members' viewpoints. In the allied network design its shares are derived from the European Union's: they are largest in </w:t>
      </w:r>
      <w:r>
        <w:t>midstream green hydrogen</w:t>
      </w:r>
      <w:r>
        <w:t xml:space="preserve"> (</w:t>
      </w:r>
      <w:r>
        <w:t>0.4%</w:t>
      </w:r>
      <w:r>
        <w:t xml:space="preserve"> of designed coalition production) and </w:t>
      </w:r>
      <w:r>
        <w:t>midstream wind</w:t>
      </w:r>
      <w:r>
        <w:t xml:space="preserve"> (</w:t>
      </w:r>
      <w:r>
        <w:t>0.3%</w:t>
      </w:r>
      <w:r>
        <w:t>).</w:t>
      </w:r>
      <w:r>
        <w:rPr>
          <w:color w:val="4B5563"/>
          <w:vertAlign w:val="superscript"/>
        </w:rPr>
        <w:t>1,7</w:t>
      </w:r>
    </w:p>
    <w:p>
      <w:pPr>
        <w:pStyle w:val="Heading1"/>
      </w:pPr>
      <w:r>
        <w:t>5. Data notes and caveats</w:t>
      </w:r>
    </w:p>
    <w:p>
      <w:r>
        <w:t xml:space="preserve">Figures are as of </w:t>
      </w:r>
      <w:r>
        <w:t>12 October 2026</w:t>
      </w:r>
      <w:r>
        <w:t xml:space="preserve">. </w:t>
      </w:r>
      <w:r>
        <w:t>Scores compare Portugal with other economies in the same sector; they are not measures of risk or profit in absolute terms.</w:t>
      </w:r>
      <w:r>
        <w:t xml:space="preserve"> </w:t>
      </w:r>
      <w:r>
        <w:t>All index values are the paper's baseline as of 12 October 2026; Strategic Insights recomputes them under other weightings.</w:t>
      </w:r>
      <w:r>
        <w:t xml:space="preserve"> </w:t>
      </w:r>
      <w:r>
        <w:t>Some figures behind these scores are filled in where the source has no value: with zero where a source lists every holder, otherwise with the world average.</w:t>
      </w:r>
      <w:r>
        <w:t xml:space="preserve"> </w:t>
      </w:r>
      <w:r>
        <w:t>Strategic Index scores within 0.01 of each other are almost tied: small changes in the data or the weights can swap their order.</w:t>
      </w:r>
      <w:r>
        <w:t xml:space="preserve"> </w:t>
      </w:r>
      <w:r>
        <w:t>Many allied picks are close calls: in the paper, 37% of them are within 0.01 of the runner-up.</w:t>
      </w:r>
      <w:r>
        <w:t xml:space="preserve"> </w:t>
      </w:r>
      <w:r>
        <w:t>In the allied network design the European Union is one producer; Portugal's shares are derived from its weight within the EU.</w:t>
      </w:r>
      <w:r>
        <w:t xml:space="preserve"> </w:t>
      </w:r>
      <w:r>
        <w:t>The Climate Action Tracker rates the EU as a whole; Portugal carries the EU's rating.</w:t>
      </w:r>
      <w:r>
        <w:t xml:space="preserve"> </w:t>
      </w:r>
      <w:r>
        <w:t>Portugal's counts leave out the EU's own 438 International Energy Agency policy records.</w:t>
      </w:r>
      <w:r>
        <w:t xml:space="preserve"> </w:t>
      </w:r>
      <w:r>
        <w:t>Trade figures count trade with other EU members.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U.S. Energy Information Administration, International Energy Statistics, bulk file INTL.zip: crude oil incl. lease condensate, NGPL, dry natural gas and coal production; petroleum and other liquids, dry natural gas and coal consumption, bulk file dated 2026-10-03 (oil production to 2025; gas and coal to 2024); open; https://www.eia.gov/international/data/world.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Portugal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Portugal: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PRT</cp:keywords>
  <dc:description>paper baseline as of 12 October 2026; fact sheet sha256 ae87e4acbe54a97e171b86ef2e0ef788e403c478b9f4a4c026d14fd49cba74ee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