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Slovak Republic: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 xml:space="preserve">The </w:t>
            </w:r>
            <w:r>
              <w:t>Slovak Republic</w:t>
            </w:r>
            <w:r>
              <w:t xml:space="preserve"> is most exposed in </w:t>
            </w:r>
            <w:r>
              <w:t>upstream gas</w:t>
            </w:r>
            <w:r>
              <w:t xml:space="preserve">, </w:t>
            </w:r>
            <w:r>
              <w:t>upstream coal</w:t>
            </w:r>
            <w:r>
              <w:t xml:space="preserve"> and </w:t>
            </w:r>
            <w:r>
              <w:t>downstream oil</w:t>
            </w:r>
            <w:r>
              <w:t xml:space="preserve">, with Energy Security higher than only </w:t>
            </w:r>
            <w:r>
              <w:t>6%</w:t>
            </w:r>
            <w:r>
              <w:t xml:space="preserve">, </w:t>
            </w:r>
            <w:r>
              <w:t>7%</w:t>
            </w:r>
            <w:r>
              <w:t xml:space="preserve"> and </w:t>
            </w:r>
            <w:r>
              <w:t>11%</w:t>
            </w:r>
            <w:r>
              <w:t xml:space="preserve"> of the other economies scored. Trade deficits pull the upstream sectors down; low, falling consumption per person pulls oil down.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strongest openings are in </w:t>
            </w:r>
            <w:r>
              <w:t>midstream electric vehicles</w:t>
            </w:r>
            <w:r>
              <w:t xml:space="preserve">, </w:t>
            </w:r>
            <w:r>
              <w:t>midstream gas</w:t>
            </w:r>
            <w:r>
              <w:t xml:space="preserve"> and </w:t>
            </w:r>
            <w:r>
              <w:t>downstream nuclear</w:t>
            </w:r>
            <w:r>
              <w:t xml:space="preserve">, with Economic Opportunity higher than </w:t>
            </w:r>
            <w:r>
              <w:t>94%</w:t>
            </w:r>
            <w:r>
              <w:t xml:space="preserve">, </w:t>
            </w:r>
            <w:r>
              <w:t>85%</w:t>
            </w:r>
            <w:r>
              <w:t xml:space="preserve"> and </w:t>
            </w:r>
            <w:r>
              <w:t>85%</w:t>
            </w:r>
            <w:r>
              <w:t xml:space="preserve"> of the other economies scored; investment or trade lifts each.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its top Strategic Index sectors are </w:t>
            </w:r>
            <w:r>
              <w:t>downstream batteries</w:t>
            </w:r>
            <w:r>
              <w:t xml:space="preserve">, </w:t>
            </w:r>
            <w:r>
              <w:t>upstream wind</w:t>
            </w:r>
            <w:r>
              <w:t xml:space="preserve"> and </w:t>
            </w:r>
            <w:r>
              <w:t>midstream nuclear</w:t>
            </w:r>
            <w:r>
              <w:t xml:space="preserve">, almost tied. In </w:t>
            </w:r>
            <w:r>
              <w:t>upstream wind, midstream nuclear and midstream batteries</w:t>
            </w:r>
            <w:r>
              <w:t>, top priority meets the most policy.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the </w:t>
            </w:r>
            <w:r>
              <w:t>Czech Republic</w:t>
            </w:r>
            <w:r>
              <w:t xml:space="preserve"> highest, then </w:t>
            </w:r>
            <w:r>
              <w:t>Germany</w:t>
            </w:r>
            <w:r>
              <w:t xml:space="preserve">, both also its leading trade partners. </w:t>
            </w:r>
            <w:r>
              <w:t>Russia</w:t>
            </w:r>
            <w:r>
              <w:t xml:space="preserve"> and </w:t>
            </w:r>
            <w:r>
              <w:t>China</w:t>
            </w:r>
            <w:r>
              <w:t xml:space="preserve"> are each </w:t>
            </w:r>
            <w:r>
              <w:t>a strong tie today that the index ranks lower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14</w:t>
      </w:r>
      <w:r>
        <w:t xml:space="preserve"> of the </w:t>
      </w:r>
      <w:r>
        <w:t>Slovak Republic</w:t>
      </w:r>
      <w:r>
        <w:t xml:space="preserve">'s </w:t>
      </w:r>
      <w:r>
        <w:t>30</w:t>
      </w:r>
      <w:r>
        <w:t xml:space="preserve"> placed sectors, those whose scores can be compared with other economies, sit in the two low-energy-security corners. Energy Security measures how well a country can rely on what it needs in a sector. Compared with other economies, its Energy Security is lowest in </w:t>
      </w:r>
      <w:r>
        <w:t>upstream gas</w:t>
      </w:r>
      <w:r>
        <w:t xml:space="preserve">, </w:t>
      </w:r>
      <w:r>
        <w:t>upstream coal</w:t>
      </w:r>
      <w:r>
        <w:t xml:space="preserve">, </w:t>
      </w:r>
      <w:r>
        <w:t>downstream oil</w:t>
      </w:r>
      <w:r>
        <w:t xml:space="preserve"> and </w:t>
      </w:r>
      <w:r>
        <w:t>midstream nuclear</w:t>
      </w:r>
      <w:r>
        <w:t xml:space="preserve">. Its scores there are higher than only </w:t>
      </w:r>
      <w:r>
        <w:t>6%</w:t>
      </w:r>
      <w:r>
        <w:t xml:space="preserve">, </w:t>
      </w:r>
      <w:r>
        <w:t>7%</w:t>
      </w:r>
      <w:r>
        <w:t xml:space="preserve">, </w:t>
      </w:r>
      <w:r>
        <w:t>11%</w:t>
      </w:r>
      <w:r>
        <w:t xml:space="preserve"> and </w:t>
      </w:r>
      <w:r>
        <w:t>12%</w:t>
      </w:r>
      <w:r>
        <w:t xml:space="preserve"> of the other </w:t>
      </w:r>
      <w:r>
        <w:t>97</w:t>
      </w:r>
      <w:r>
        <w:t xml:space="preserve">, </w:t>
      </w:r>
      <w:r>
        <w:t>95</w:t>
      </w:r>
      <w:r>
        <w:t xml:space="preserve">, </w:t>
      </w:r>
      <w:r>
        <w:t>98</w:t>
      </w:r>
      <w:r>
        <w:t xml:space="preserve"> and </w:t>
      </w:r>
      <w:r>
        <w:t>153</w:t>
      </w:r>
      <w:r>
        <w:t xml:space="preserve"> economies scored. Of these, </w:t>
      </w:r>
      <w:r>
        <w:t>upstream gas</w:t>
      </w:r>
      <w:r>
        <w:t xml:space="preserve">, </w:t>
      </w:r>
      <w:r>
        <w:t>upstream coal</w:t>
      </w:r>
      <w:r>
        <w:t xml:space="preserve"> and </w:t>
      </w:r>
      <w:r>
        <w:t>downstream oil</w:t>
      </w:r>
      <w:r>
        <w:t xml:space="preserve"> sit in the </w:t>
      </w:r>
      <w:r>
        <w:t>Secure</w:t>
      </w:r>
      <w:r>
        <w:t xml:space="preserve"> corner, and </w:t>
      </w:r>
      <w:r>
        <w:t>midstream nuclear</w:t>
      </w:r>
      <w:r>
        <w:t xml:space="preserve"> in the </w:t>
      </w:r>
      <w:r>
        <w:t>Upgrade</w:t>
      </w:r>
      <w:r>
        <w:t xml:space="preserve"> corner.</w:t>
      </w:r>
      <w:r>
        <w:rPr>
          <w:color w:val="4B5563"/>
          <w:vertAlign w:val="superscript"/>
        </w:rPr>
        <w:t>1</w:t>
      </w:r>
    </w:p>
    <w:p>
      <w:r>
        <w:t xml:space="preserve">The data's high-priority sectors, its </w:t>
      </w:r>
      <w:r>
        <w:t>Upgrade</w:t>
      </w:r>
      <w:r>
        <w:t xml:space="preserve"> sectors with the best Strategic Index ranks, are </w:t>
      </w:r>
      <w:r>
        <w:t>upstream wind, midstream nuclear and midstream batteries</w:t>
      </w:r>
      <w:r>
        <w:t xml:space="preserve">. In </w:t>
      </w:r>
      <w:r>
        <w:t>midstream nuclear</w:t>
      </w:r>
      <w:r>
        <w:t xml:space="preserve"> the score is </w:t>
      </w:r>
      <w:r>
        <w:t>0.40</w:t>
      </w:r>
      <w:r>
        <w:t xml:space="preserve">, and trade pulls it down. Its trade deficit in these goods was </w:t>
      </w:r>
      <w:r>
        <w:t>0.1% of GDP</w:t>
      </w:r>
      <w:r>
        <w:t xml:space="preserve"> in </w:t>
      </w:r>
      <w:r>
        <w:t>2023</w:t>
      </w:r>
      <w:r>
        <w:t xml:space="preserve">; on this measure it scores higher than only </w:t>
      </w:r>
      <w:r>
        <w:t>1%</w:t>
      </w:r>
      <w:r>
        <w:t xml:space="preserve"> of the other economies. For context, </w:t>
      </w:r>
      <w:r>
        <w:t>Russia</w:t>
      </w:r>
      <w:r>
        <w:t xml:space="preserve"> supplied </w:t>
      </w:r>
      <w:r>
        <w:t>94.6%</w:t>
      </w:r>
      <w:r>
        <w:t xml:space="preserve"> of its </w:t>
      </w:r>
      <w:r>
        <w:t>USD 132 m</w:t>
      </w:r>
      <w:r>
        <w:t xml:space="preserve"> of imports of these goods in </w:t>
      </w:r>
      <w:r>
        <w:t>2024</w:t>
      </w:r>
      <w:r>
        <w:t xml:space="preserve">. In </w:t>
      </w:r>
      <w:r>
        <w:t>midstream batteries</w:t>
      </w:r>
      <w:r>
        <w:t xml:space="preserve">, trade pulls the score down too: the deficit was </w:t>
      </w:r>
      <w:r>
        <w:t>1.1% of GDP</w:t>
      </w:r>
      <w:r>
        <w:t xml:space="preserve"> in </w:t>
      </w:r>
      <w:r>
        <w:t>2023</w:t>
      </w:r>
      <w:r>
        <w:t>.</w:t>
      </w:r>
      <w:r>
        <w:rPr>
          <w:color w:val="4B5563"/>
          <w:vertAlign w:val="superscript"/>
        </w:rPr>
        <w:t>1,2,3</w:t>
      </w:r>
    </w:p>
    <w:p>
      <w:r>
        <w:t xml:space="preserve">In </w:t>
      </w:r>
      <w:r>
        <w:t>upstream gas</w:t>
      </w:r>
      <w:r>
        <w:t xml:space="preserve">, the </w:t>
      </w:r>
      <w:r>
        <w:t>reserves</w:t>
      </w:r>
      <w:r>
        <w:t xml:space="preserve"> and trade categories pull the score down: no gas reserves are recorded, which the index counts as zero, and the trade deficit was </w:t>
      </w:r>
      <w:r>
        <w:t>1.5% of GDP</w:t>
      </w:r>
      <w:r>
        <w:t xml:space="preserve"> in </w:t>
      </w:r>
      <w:r>
        <w:t>2023</w:t>
      </w:r>
      <w:r>
        <w:t xml:space="preserve">. For context, </w:t>
      </w:r>
      <w:r>
        <w:t>Russia</w:t>
      </w:r>
      <w:r>
        <w:t xml:space="preserve"> supplied </w:t>
      </w:r>
      <w:r>
        <w:t>98.0%</w:t>
      </w:r>
      <w:r>
        <w:t xml:space="preserve"> of its imports of these goods in </w:t>
      </w:r>
      <w:r>
        <w:t>2024</w:t>
      </w:r>
      <w:r>
        <w:t xml:space="preserve">. In </w:t>
      </w:r>
      <w:r>
        <w:t>downstream oil</w:t>
      </w:r>
      <w:r>
        <w:t xml:space="preserve">, energy access pulls the score down: consumption was </w:t>
      </w:r>
      <w:r>
        <w:t>30.6 GJ per person</w:t>
      </w:r>
      <w:r>
        <w:t xml:space="preserve"> in </w:t>
      </w:r>
      <w:r>
        <w:t>2025</w:t>
      </w:r>
      <w:r>
        <w:t xml:space="preserve"> and changed by </w:t>
      </w:r>
      <w:r>
        <w:t>-1.3%</w:t>
      </w:r>
      <w:r>
        <w:t xml:space="preserve"> over the years to </w:t>
      </w:r>
      <w:r>
        <w:t>2025</w:t>
      </w:r>
      <w:r>
        <w:t>.</w:t>
      </w:r>
      <w:r>
        <w:rPr>
          <w:color w:val="4B5563"/>
          <w:vertAlign w:val="superscript"/>
        </w:rPr>
        <w:t>2,3,4</w:t>
      </w:r>
    </w:p>
    <w:p>
      <w:pPr>
        <w:pStyle w:val="Heading1"/>
      </w:pPr>
      <w:r>
        <w:t>2. Economic opportunities and why</w:t>
      </w:r>
    </w:p>
    <w:p>
      <w:r>
        <w:t>22</w:t>
      </w:r>
      <w:r>
        <w:t xml:space="preserve"> of the </w:t>
      </w:r>
      <w:r>
        <w:t>30</w:t>
      </w:r>
      <w:r>
        <w:t xml:space="preserve"> placed sectors sit in the two high-opportunity corners. Economic Opportunity measures how well placed a country is to create value in a sector. Compared with other economies, it is highest in </w:t>
      </w:r>
      <w:r>
        <w:t>midstream electric vehicles</w:t>
      </w:r>
      <w:r>
        <w:t xml:space="preserve">, </w:t>
      </w:r>
      <w:r>
        <w:t>midstream gas</w:t>
      </w:r>
      <w:r>
        <w:t xml:space="preserve">, </w:t>
      </w:r>
      <w:r>
        <w:t>downstream nuclear</w:t>
      </w:r>
      <w:r>
        <w:t xml:space="preserve"> and </w:t>
      </w:r>
      <w:r>
        <w:t>midstream nuclear</w:t>
      </w:r>
      <w:r>
        <w:t xml:space="preserve">, higher than </w:t>
      </w:r>
      <w:r>
        <w:t>94%</w:t>
      </w:r>
      <w:r>
        <w:t xml:space="preserve">, </w:t>
      </w:r>
      <w:r>
        <w:t>85%</w:t>
      </w:r>
      <w:r>
        <w:t xml:space="preserve">, </w:t>
      </w:r>
      <w:r>
        <w:t>85%</w:t>
      </w:r>
      <w:r>
        <w:t xml:space="preserve"> and </w:t>
      </w:r>
      <w:r>
        <w:t>81%</w:t>
      </w:r>
      <w:r>
        <w:t xml:space="preserve"> of the other economies scored. The sectors other than </w:t>
      </w:r>
      <w:r>
        <w:t>midstream nuclear</w:t>
      </w:r>
      <w:r>
        <w:t xml:space="preserve"> sit in the </w:t>
      </w:r>
      <w:r>
        <w:t>Grow</w:t>
      </w:r>
      <w:r>
        <w:t xml:space="preserve"> corner, which the paper's framework associates with export promotion.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midstream electric vehicles</w:t>
      </w:r>
      <w:r>
        <w:t xml:space="preserve">, investment pushes the score up: on annual investment it scores higher than </w:t>
      </w:r>
      <w:r>
        <w:t>91%</w:t>
      </w:r>
      <w:r>
        <w:t xml:space="preserve"> of the other economies. For context, its exports of these goods were </w:t>
      </w:r>
      <w:r>
        <w:t>USD 17.1 bn</w:t>
      </w:r>
      <w:r>
        <w:t xml:space="preserve"> in </w:t>
      </w:r>
      <w:r>
        <w:t>2024</w:t>
      </w:r>
      <w:r>
        <w:t xml:space="preserve">, and its largest market was </w:t>
      </w:r>
      <w:r>
        <w:t>Germany</w:t>
      </w:r>
      <w:r>
        <w:t xml:space="preserve"> (</w:t>
      </w:r>
      <w:r>
        <w:t>20.9%</w:t>
      </w:r>
      <w:r>
        <w:t>).</w:t>
      </w:r>
      <w:r>
        <w:rPr>
          <w:color w:val="4B5563"/>
          <w:vertAlign w:val="superscript"/>
        </w:rPr>
        <w:t>1,3</w:t>
      </w:r>
    </w:p>
    <w:p>
      <w:r>
        <w:t xml:space="preserve">In </w:t>
      </w:r>
      <w:r>
        <w:t>midstream gas</w:t>
      </w:r>
      <w:r>
        <w:t xml:space="preserve">, trade pushes the score up: its reported exports were </w:t>
      </w:r>
      <w:r>
        <w:t>USD 1.05 bn</w:t>
      </w:r>
      <w:r>
        <w:t xml:space="preserve"> in </w:t>
      </w:r>
      <w:r>
        <w:t>2024</w:t>
      </w:r>
      <w:r>
        <w:t xml:space="preserve">. Its revealed comparative advantage, the weight of these goods in its exports relative to world exports, was </w:t>
      </w:r>
      <w:r>
        <w:t>1.27</w:t>
      </w:r>
      <w:r>
        <w:t xml:space="preserve">. In </w:t>
      </w:r>
      <w:r>
        <w:t>midstream nuclear</w:t>
      </w:r>
      <w:r>
        <w:t xml:space="preserve">, trade also pushes the score up: on export feasibility, which measures related capabilities, it scores higher than </w:t>
      </w:r>
      <w:r>
        <w:t>78%</w:t>
      </w:r>
      <w:r>
        <w:t xml:space="preserve"> of the other economies. In </w:t>
      </w:r>
      <w:r>
        <w:t>downstream nuclear</w:t>
      </w:r>
      <w:r>
        <w:t xml:space="preserve">, energy access pushes the score up: consumption in this sector was </w:t>
      </w:r>
      <w:r>
        <w:t>38.4 GJ per person</w:t>
      </w:r>
      <w:r>
        <w:t xml:space="preserve"> in </w:t>
      </w:r>
      <w:r>
        <w:t>2025</w:t>
      </w:r>
      <w:r>
        <w:t>.</w:t>
      </w:r>
      <w:r>
        <w:rPr>
          <w:color w:val="4B5563"/>
          <w:vertAlign w:val="superscript"/>
        </w:rPr>
        <w:t>1,4,5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opportunity, security need, policy activity, stage and low-emission value. On the paper's weighting, it ranks </w:t>
      </w:r>
      <w:r>
        <w:t>downstream batteries</w:t>
      </w:r>
      <w:r>
        <w:t xml:space="preserve"> </w:t>
      </w:r>
      <w:r>
        <w:t>1st</w:t>
      </w:r>
      <w:r>
        <w:t xml:space="preserve">, </w:t>
      </w:r>
      <w:r>
        <w:t>upstream wind</w:t>
      </w:r>
      <w:r>
        <w:t xml:space="preserve"> </w:t>
      </w:r>
      <w:r>
        <w:t>2nd</w:t>
      </w:r>
      <w:r>
        <w:t xml:space="preserve">, </w:t>
      </w:r>
      <w:r>
        <w:t>midstream nuclear</w:t>
      </w:r>
      <w:r>
        <w:t xml:space="preserve"> </w:t>
      </w:r>
      <w:r>
        <w:t>3rd</w:t>
      </w:r>
      <w:r>
        <w:t xml:space="preserve">, </w:t>
      </w:r>
      <w:r>
        <w:t>midstream batteries</w:t>
      </w:r>
      <w:r>
        <w:t xml:space="preserve"> </w:t>
      </w:r>
      <w:r>
        <w:t>4th</w:t>
      </w:r>
      <w:r>
        <w:t xml:space="preserve"> and </w:t>
      </w:r>
      <w:r>
        <w:t>upstream solar</w:t>
      </w:r>
      <w:r>
        <w:t xml:space="preserve"> </w:t>
      </w:r>
      <w:r>
        <w:t>5th</w:t>
      </w:r>
      <w:r>
        <w:t xml:space="preserve"> among the </w:t>
      </w:r>
      <w:r>
        <w:t>Slovak Republic</w:t>
      </w:r>
      <w:r>
        <w:t xml:space="preserve">'s own sectors. The scores are almost tied: </w:t>
      </w:r>
      <w:r>
        <w:t>downstream batteries</w:t>
      </w:r>
      <w:r>
        <w:t xml:space="preserve"> leads with </w:t>
      </w:r>
      <w:r>
        <w:t>0.65</w:t>
      </w:r>
      <w:r>
        <w:t xml:space="preserve">, and the gaps between neighbours are </w:t>
      </w:r>
      <w:r>
        <w:t>0.007</w:t>
      </w:r>
      <w:r>
        <w:t xml:space="preserve">, </w:t>
      </w:r>
      <w:r>
        <w:t>0.002</w:t>
      </w:r>
      <w:r>
        <w:t xml:space="preserve">, </w:t>
      </w:r>
      <w:r>
        <w:t>0.005</w:t>
      </w:r>
      <w:r>
        <w:t xml:space="preserve"> and </w:t>
      </w:r>
      <w:r>
        <w:t>0.002</w:t>
      </w:r>
      <w:r>
        <w:t xml:space="preserve">. Its lead rests on policy activity: without the policy term, it ranks only </w:t>
      </w:r>
      <w:r>
        <w:t>15th</w:t>
      </w:r>
      <w:r>
        <w:t xml:space="preserve">. In </w:t>
      </w:r>
      <w:r>
        <w:t>upstream wind</w:t>
      </w:r>
      <w:r>
        <w:t xml:space="preserve">, </w:t>
      </w:r>
      <w:r>
        <w:t>midstream nuclear</w:t>
      </w:r>
      <w:r>
        <w:t xml:space="preserve"> and </w:t>
      </w:r>
      <w:r>
        <w:t>midstream batteries</w:t>
      </w:r>
      <w:r>
        <w:t xml:space="preserve">, all in the </w:t>
      </w:r>
      <w:r>
        <w:t>Upgrade</w:t>
      </w:r>
      <w:r>
        <w:t xml:space="preserve"> corner, security need adds the most to the score: </w:t>
      </w:r>
      <w:r>
        <w:t>0.179</w:t>
      </w:r>
      <w:r>
        <w:t xml:space="preserve"> in </w:t>
      </w:r>
      <w:r>
        <w:t>midstream nuclear</w:t>
      </w:r>
      <w:r>
        <w:t xml:space="preserve">, against </w:t>
      </w:r>
      <w:r>
        <w:t>0.166</w:t>
      </w:r>
      <w:r>
        <w:t xml:space="preserve"> for opportunity. The paper's framework associates that corner with building domestic capability.</w:t>
      </w:r>
      <w:r>
        <w:rPr>
          <w:color w:val="4B5563"/>
          <w:vertAlign w:val="superscript"/>
        </w:rPr>
        <w:t>1</w:t>
      </w:r>
    </w:p>
    <w:p>
      <w:r>
        <w:t xml:space="preserve">The allied pick, the leading upstream or midstream sector after a screen for resource endowment, is </w:t>
      </w:r>
      <w:r>
        <w:t>midstream nuclear</w:t>
      </w:r>
      <w:r>
        <w:t xml:space="preserve"> (</w:t>
      </w:r>
      <w:r>
        <w:t>0.64</w:t>
      </w:r>
      <w:r>
        <w:t xml:space="preserve">), almost tied with </w:t>
      </w:r>
      <w:r>
        <w:t>midstream batteries</w:t>
      </w:r>
      <w:r>
        <w:t xml:space="preserve"> (</w:t>
      </w:r>
      <w:r>
        <w:t>0.005</w:t>
      </w:r>
      <w:r>
        <w:t xml:space="preserve"> apart). The screen leaves out </w:t>
      </w:r>
      <w:r>
        <w:t>upstream wind</w:t>
      </w:r>
      <w:r>
        <w:t>, for which no resource base is recorded.</w:t>
      </w:r>
      <w:r>
        <w:rPr>
          <w:color w:val="4B5563"/>
          <w:vertAlign w:val="superscript"/>
        </w:rPr>
        <w:t>6</w:t>
      </w:r>
    </w:p>
    <w:p>
      <w:r>
        <w:t xml:space="preserve">Policy activity counts International Energy Agency Policies and Measures records and reads the Climate Action Tracker rating against each technology. The </w:t>
      </w:r>
      <w:r>
        <w:t>Slovak Republic</w:t>
      </w:r>
      <w:r>
        <w:t xml:space="preserve"> carries the rating </w:t>
      </w:r>
      <w:r>
        <w:t>Insufficient</w:t>
      </w:r>
      <w:r>
        <w:t xml:space="preserve"> (</w:t>
      </w:r>
      <w:r>
        <w:t>November 2024</w:t>
      </w:r>
      <w:r>
        <w:t xml:space="preserve">) and has </w:t>
      </w:r>
      <w:r>
        <w:t>156</w:t>
      </w:r>
      <w:r>
        <w:t xml:space="preserve"> such records, </w:t>
      </w:r>
      <w:r>
        <w:t>76</w:t>
      </w:r>
      <w:r>
        <w:t xml:space="preserve"> of which name a technology. Comparing priority, the index without its policy term, with policy activity, top priority meets the most policy in </w:t>
      </w:r>
      <w:r>
        <w:t>upstream wind, midstream nuclear and midstream batteries</w:t>
      </w:r>
      <w:r>
        <w:t xml:space="preserve">. No top-priority sector falls among those with the least policy. Priority and policy agree at the bottom in </w:t>
      </w:r>
      <w:r>
        <w:t>7</w:t>
      </w:r>
      <w:r>
        <w:t xml:space="preserve"> sectors, every coal and oil sector among them.</w:t>
      </w:r>
      <w:r>
        <w:rPr>
          <w:color w:val="4B5563"/>
          <w:vertAlign w:val="superscript"/>
        </w:rPr>
        <w:t>1,7,8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rates partners as reliable suppliers (Friendshore), as export markets (Partnership Opportunity) and, for middle- and lower-income partners, by Development Potential. From the </w:t>
      </w:r>
      <w:r>
        <w:t>Slovak Republic</w:t>
      </w:r>
      <w:r>
        <w:t xml:space="preserve">'s viewpoint it ranks the </w:t>
      </w:r>
      <w:r>
        <w:t>Czech Republic</w:t>
      </w:r>
      <w:r>
        <w:t xml:space="preserve"> </w:t>
      </w:r>
      <w:r>
        <w:t>1st</w:t>
      </w:r>
      <w:r>
        <w:t xml:space="preserve">, </w:t>
      </w:r>
      <w:r>
        <w:t>Germany</w:t>
      </w:r>
      <w:r>
        <w:t xml:space="preserve"> </w:t>
      </w:r>
      <w:r>
        <w:t>2nd</w:t>
      </w:r>
      <w:r>
        <w:t xml:space="preserve">, </w:t>
      </w:r>
      <w:r>
        <w:t>Italy</w:t>
      </w:r>
      <w:r>
        <w:t xml:space="preserve"> </w:t>
      </w:r>
      <w:r>
        <w:t>3rd</w:t>
      </w:r>
      <w:r>
        <w:t xml:space="preserve">, the </w:t>
      </w:r>
      <w:r>
        <w:t>United Kingdom</w:t>
      </w:r>
      <w:r>
        <w:t xml:space="preserve"> </w:t>
      </w:r>
      <w:r>
        <w:t>4th</w:t>
      </w:r>
      <w:r>
        <w:t xml:space="preserve"> and </w:t>
      </w:r>
      <w:r>
        <w:t>Austria</w:t>
      </w:r>
      <w:r>
        <w:t xml:space="preserve"> </w:t>
      </w:r>
      <w:r>
        <w:t>5th</w:t>
      </w:r>
      <w:r>
        <w:t xml:space="preserve"> of </w:t>
      </w:r>
      <w:r>
        <w:t>191</w:t>
      </w:r>
      <w:r>
        <w:t xml:space="preserve"> partners. The </w:t>
      </w:r>
      <w:r>
        <w:t>Czech Republic</w:t>
      </w:r>
      <w:r>
        <w:t xml:space="preserve"> and </w:t>
      </w:r>
      <w:r>
        <w:t>Austria</w:t>
      </w:r>
      <w:r>
        <w:t xml:space="preserve"> each stand out as a </w:t>
      </w:r>
      <w:r>
        <w:t>reliable supplier</w:t>
      </w:r>
      <w:r>
        <w:t xml:space="preserve">. </w:t>
      </w:r>
      <w:r>
        <w:t>Germany</w:t>
      </w:r>
      <w:r>
        <w:t xml:space="preserve">, </w:t>
      </w:r>
      <w:r>
        <w:t>Italy</w:t>
      </w:r>
      <w:r>
        <w:t xml:space="preserve"> and the </w:t>
      </w:r>
      <w:r>
        <w:t>United Kingdom</w:t>
      </w:r>
      <w:r>
        <w:t xml:space="preserve"> each stand out as an </w:t>
      </w:r>
      <w:r>
        <w:t>export market</w:t>
      </w:r>
      <w:r>
        <w:t xml:space="preserve">; for </w:t>
      </w:r>
      <w:r>
        <w:t>Germany</w:t>
      </w:r>
      <w:r>
        <w:t xml:space="preserve"> the best sectors are </w:t>
      </w:r>
      <w:r>
        <w:t>midstream wind, midstream electric grid, downstream nuclear, midstream solar and midstream batteries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Today's trade matches part of this list. </w:t>
      </w:r>
      <w:r>
        <w:t>Germany</w:t>
      </w:r>
      <w:r>
        <w:t xml:space="preserve"> is the </w:t>
      </w:r>
      <w:r>
        <w:t>Slovak Republic</w:t>
      </w:r>
      <w:r>
        <w:t xml:space="preserve">'s </w:t>
      </w:r>
      <w:r>
        <w:t>1st</w:t>
      </w:r>
      <w:r>
        <w:t xml:space="preserve"> trade partner on average across its energy-goods baskets, the </w:t>
      </w:r>
      <w:r>
        <w:t>Czech Republic</w:t>
      </w:r>
      <w:r>
        <w:t xml:space="preserve"> its </w:t>
      </w:r>
      <w:r>
        <w:t>2nd</w:t>
      </w:r>
      <w:r>
        <w:t xml:space="preserve"> and </w:t>
      </w:r>
      <w:r>
        <w:t>Austria</w:t>
      </w:r>
      <w:r>
        <w:t xml:space="preserve"> its </w:t>
      </w:r>
      <w:r>
        <w:t>7th</w:t>
      </w:r>
      <w:r>
        <w:t xml:space="preserve">; each is </w:t>
      </w:r>
      <w:r>
        <w:t>a priority partner with strong ties today</w:t>
      </w:r>
      <w:r>
        <w:t xml:space="preserve">. </w:t>
      </w:r>
      <w:r>
        <w:t>Italy</w:t>
      </w:r>
      <w:r>
        <w:t xml:space="preserve"> and the </w:t>
      </w:r>
      <w:r>
        <w:t>United Kingdom</w:t>
      </w:r>
      <w:r>
        <w:t xml:space="preserve"> trade less, ranking </w:t>
      </w:r>
      <w:r>
        <w:t>12th</w:t>
      </w:r>
      <w:r>
        <w:t xml:space="preserve"> and </w:t>
      </w:r>
      <w:r>
        <w:t>19th</w:t>
      </w:r>
      <w:r>
        <w:t xml:space="preserve">. All of these partners vote in the </w:t>
      </w:r>
      <w:r>
        <w:t>same bloc</w:t>
      </w:r>
      <w:r>
        <w:t xml:space="preserve"> as the </w:t>
      </w:r>
      <w:r>
        <w:t>Slovak Republic</w:t>
      </w:r>
      <w:r>
        <w:t xml:space="preserve"> at the UN, and all but </w:t>
      </w:r>
      <w:r>
        <w:t>Austria</w:t>
      </w:r>
      <w:r>
        <w:t xml:space="preserve"> share membership of </w:t>
      </w:r>
      <w:r>
        <w:t>NATO</w:t>
      </w:r>
      <w:r>
        <w:t xml:space="preserve"> with it. By contrast, </w:t>
      </w:r>
      <w:r>
        <w:t>Russia</w:t>
      </w:r>
      <w:r>
        <w:t xml:space="preserve"> is its </w:t>
      </w:r>
      <w:r>
        <w:t>5th</w:t>
      </w:r>
      <w:r>
        <w:t xml:space="preserve"> trade partner but ranks </w:t>
      </w:r>
      <w:r>
        <w:t>70th</w:t>
      </w:r>
      <w:r>
        <w:t xml:space="preserve"> on Partnership Strength, and </w:t>
      </w:r>
      <w:r>
        <w:t>China</w:t>
      </w:r>
      <w:r>
        <w:t xml:space="preserve"> is its </w:t>
      </w:r>
      <w:r>
        <w:t>6th</w:t>
      </w:r>
      <w:r>
        <w:t xml:space="preserve"> but ranks </w:t>
      </w:r>
      <w:r>
        <w:t>30th</w:t>
      </w:r>
      <w:r>
        <w:t xml:space="preserve">. In UN votes, the </w:t>
      </w:r>
      <w:r>
        <w:t>Slovak Republic</w:t>
      </w:r>
      <w:r>
        <w:t xml:space="preserve"> and each of them sit in </w:t>
      </w:r>
      <w:r>
        <w:t>opposite blocs</w:t>
      </w:r>
      <w:r>
        <w:t>.</w:t>
      </w:r>
      <w:r>
        <w:rPr>
          <w:color w:val="4B5563"/>
          <w:vertAlign w:val="superscript"/>
        </w:rPr>
        <w:t>1,3,9,10</w:t>
      </w:r>
    </w:p>
    <w:p>
      <w:r>
        <w:t xml:space="preserve">As a partner to the coalition, the </w:t>
      </w:r>
      <w:r>
        <w:t>Slovak Republic</w:t>
      </w:r>
      <w:r>
        <w:t xml:space="preserve"> ranks </w:t>
      </w:r>
      <w:r>
        <w:t>21st</w:t>
      </w:r>
      <w:r>
        <w:t xml:space="preserve"> of </w:t>
      </w:r>
      <w:r>
        <w:t>192</w:t>
      </w:r>
      <w:r>
        <w:t xml:space="preserve"> economies on Partnership Strength averaged over the core members' viewpoints. In the allied network design, which spreads upstream and midstream production across coalition members, its largest designed shares are </w:t>
      </w:r>
      <w:r>
        <w:t>0.3%</w:t>
      </w:r>
      <w:r>
        <w:t xml:space="preserve"> of </w:t>
      </w:r>
      <w:r>
        <w:t>midstream gas</w:t>
      </w:r>
      <w:r>
        <w:t xml:space="preserve"> and </w:t>
      </w:r>
      <w:r>
        <w:t>0.3%</w:t>
      </w:r>
      <w:r>
        <w:t xml:space="preserve"> of </w:t>
      </w:r>
      <w:r>
        <w:t>midstream wind</w:t>
      </w:r>
      <w:r>
        <w:t>.</w:t>
      </w:r>
      <w:r>
        <w:rPr>
          <w:color w:val="4B5563"/>
          <w:vertAlign w:val="superscript"/>
        </w:rPr>
        <w:t>1,6</w:t>
      </w:r>
    </w:p>
    <w:p>
      <w:pPr>
        <w:pStyle w:val="Heading1"/>
      </w:pPr>
      <w:r>
        <w:t>5. Data notes and caveats</w:t>
      </w:r>
    </w:p>
    <w:p>
      <w:r>
        <w:t>Country Insights shows more (</w:t>
      </w:r>
      <w:r>
        <w:t>12 October 2026</w:t>
      </w:r>
      <w:r>
        <w:t>).</w:t>
      </w:r>
    </w:p>
    <w:p>
      <w:pPr>
        <w:pStyle w:val="ListBullet"/>
      </w:pPr>
      <w:r>
        <w:t>Scores compare the Slovak Republic with other economies in the same sector; they are not measures of risk or profit in absolute terms.</w:t>
      </w:r>
    </w:p>
    <w:p>
      <w:pPr>
        <w:pStyle w:val="ListBullet"/>
      </w:pPr>
      <w:r>
        <w:t>All index values are the paper's baseline as of 12 October 2026; Strategic Insights recomputes them under other weightings.</w:t>
      </w:r>
    </w:p>
    <w:p>
      <w:pPr>
        <w:pStyle w:val="ListBullet"/>
      </w:pPr>
      <w:r>
        <w:t>Some figures behind these scores are filled in where the source has no value: with zero where a source lists every holder, otherwise with the world average.</w:t>
      </w:r>
    </w:p>
    <w:p>
      <w:pPr>
        <w:pStyle w:val="ListBullet"/>
      </w:pPr>
      <w:r>
        <w:t>Strategic Index scores within 0.01 of each other are almost tied: small changes in the data or the weights can swap their order.</w:t>
      </w:r>
    </w:p>
    <w:p>
      <w:pPr>
        <w:pStyle w:val="ListBullet"/>
      </w:pPr>
      <w:r>
        <w:t>Many allied picks are close calls: in the paper, 37% of them are within 0.01 of the runner-up.</w:t>
      </w:r>
    </w:p>
    <w:p>
      <w:pPr>
        <w:pStyle w:val="ListBullet"/>
      </w:pPr>
      <w:r>
        <w:t>In the allied network design the European Union is one producer; the Slovak Republic's shares are derived from its weight within the EU.</w:t>
      </w:r>
    </w:p>
    <w:p>
      <w:pPr>
        <w:pStyle w:val="ListBullet"/>
      </w:pPr>
      <w:r>
        <w:t>The Climate Action Tracker rates the EU as a whole; the Slovak Republic carries the EU's rating.</w:t>
      </w:r>
    </w:p>
    <w:p>
      <w:pPr>
        <w:pStyle w:val="ListBullet"/>
      </w:pPr>
      <w:r>
        <w:t>The Slovak Republic's counts leave out the EU's own 438 International Energy Agency policy records.</w:t>
      </w:r>
    </w:p>
    <w:p>
      <w:pPr>
        <w:pStyle w:val="ListBullet"/>
      </w:pPr>
      <w:r>
        <w:t>Trade figures count trade with other EU members.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Slovak Republic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Slovak Republic: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SVK</cp:keywords>
  <dc:description>paper baseline as of 12 October 2026; fact sheet sha256 a80b892149aa1fcd44a51f736763915992adaaca17d02164eebc51db726a1edb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