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Sweden: energy security, economic opportunity and partnership priorities</w:t>
      </w:r>
    </w:p>
    <w:p>
      <w:r>
        <w:rPr>
          <w:color w:val="4B5563"/>
          <w:sz w:val="18"/>
        </w:rPr>
        <w:t>Policy memo · Country Insights · Allied Industrial Base Explorer · NEIS Center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9"/>
        </w:rPr>
        <w:t>AI-generated from the data and checked against it; paper baseline as of 12 October 2026.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val="clear" w:color="auto" w:fill="F3F4F6"/>
            <w:tcBorders>
              <w:top w:val="nil"/>
              <w:left w:val="single" w:sz="24" w:space="0" w:color="F58229"/>
              <w:bottom w:val="nil"/>
              <w:right w:val="nil"/>
            </w:tcBorders>
            <w:tcMar>
              <w:top w:w="120" w:type="dxa"/>
              <w:left w:w="200" w:type="dxa"/>
              <w:bottom w:w="80" w:type="dxa"/>
              <w:right w:w="160" w:type="dxa"/>
            </w:tcMar>
          </w:tcPr>
          <w:p>
            <w:r>
              <w:rPr>
                <w:b/>
                <w:sz w:val="24"/>
              </w:rPr>
              <w:t>Summary</w:t>
            </w:r>
          </w:p>
          <w:p>
            <w:pPr>
              <w:pStyle w:val="ListBullet"/>
            </w:pPr>
            <w:r>
              <w:t>Sweden</w:t>
            </w:r>
            <w:r>
              <w:t xml:space="preserve"> is most exposed in </w:t>
            </w:r>
            <w:r>
              <w:t>downstream gas</w:t>
            </w:r>
            <w:r>
              <w:t xml:space="preserve">, </w:t>
            </w:r>
            <w:r>
              <w:t>upstream coal</w:t>
            </w:r>
            <w:r>
              <w:t xml:space="preserve"> and </w:t>
            </w:r>
            <w:r>
              <w:t>upstream oil</w:t>
            </w:r>
            <w:r>
              <w:t xml:space="preserve">, where its Energy Security is higher than only </w:t>
            </w:r>
            <w:r>
              <w:t>7%</w:t>
            </w:r>
            <w:r>
              <w:t xml:space="preserve">, </w:t>
            </w:r>
            <w:r>
              <w:t>14%</w:t>
            </w:r>
            <w:r>
              <w:t xml:space="preserve"> and </w:t>
            </w:r>
            <w:r>
              <w:t>18%</w:t>
            </w:r>
            <w:r>
              <w:t xml:space="preserve"> of the other economies scored. Gas use per person is low and falling, and coal and oil production fall short of consumption.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Its strongest openings are in </w:t>
            </w:r>
            <w:r>
              <w:t>midstream gas</w:t>
            </w:r>
            <w:r>
              <w:t xml:space="preserve">, </w:t>
            </w:r>
            <w:r>
              <w:t>midstream nuclear</w:t>
            </w:r>
            <w:r>
              <w:t xml:space="preserve"> and </w:t>
            </w:r>
            <w:r>
              <w:t>downstream wind</w:t>
            </w:r>
            <w:r>
              <w:t xml:space="preserve">, where its Economic Opportunity is higher than </w:t>
            </w:r>
            <w:r>
              <w:t>92%</w:t>
            </w:r>
            <w:r>
              <w:t xml:space="preserve">, </w:t>
            </w:r>
            <w:r>
              <w:t>92%</w:t>
            </w:r>
            <w:r>
              <w:t xml:space="preserve"> and </w:t>
            </w:r>
            <w:r>
              <w:t>91%</w:t>
            </w:r>
            <w:r>
              <w:t xml:space="preserve"> of the other economies scored, helped by exports, investment and output.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On the paper's weighting, the Strategic Index puts </w:t>
            </w:r>
            <w:r>
              <w:t>upstream batteries</w:t>
            </w:r>
            <w:r>
              <w:t xml:space="preserve"> </w:t>
            </w:r>
            <w:r>
              <w:t>1st</w:t>
            </w:r>
            <w:r>
              <w:t xml:space="preserve"> among </w:t>
            </w:r>
            <w:r>
              <w:t>Sweden</w:t>
            </w:r>
            <w:r>
              <w:t xml:space="preserve">'s own sectors, </w:t>
            </w:r>
            <w:r>
              <w:t>0.015</w:t>
            </w:r>
            <w:r>
              <w:t xml:space="preserve"> ahead of the next; policy activity places it in the group with the </w:t>
            </w:r>
            <w:r>
              <w:t>most policy</w:t>
            </w:r>
            <w:r>
              <w:t>.</w:t>
            </w:r>
            <w:r>
              <w:rPr>
                <w:color w:val="4B5563"/>
                <w:vertAlign w:val="superscript"/>
              </w:rPr>
              <w:t>1</w:t>
            </w:r>
          </w:p>
          <w:p>
            <w:pPr>
              <w:pStyle w:val="ListBullet"/>
            </w:pPr>
            <w:r>
              <w:t xml:space="preserve">The Partnership Strength Index rates </w:t>
            </w:r>
            <w:r>
              <w:t>Finland</w:t>
            </w:r>
            <w:r>
              <w:t xml:space="preserve"> highest for </w:t>
            </w:r>
            <w:r>
              <w:t>Sweden</w:t>
            </w:r>
            <w:r>
              <w:t xml:space="preserve">, as a </w:t>
            </w:r>
            <w:r>
              <w:t>reliable supplier</w:t>
            </w:r>
            <w:r>
              <w:t xml:space="preserve">; it is also </w:t>
            </w:r>
            <w:r>
              <w:t>Sweden</w:t>
            </w:r>
            <w:r>
              <w:t xml:space="preserve">'s </w:t>
            </w:r>
            <w:r>
              <w:t>3rd</w:t>
            </w:r>
            <w:r>
              <w:t xml:space="preserve"> trade partner, while </w:t>
            </w:r>
            <w:r>
              <w:t>China</w:t>
            </w:r>
            <w:r>
              <w:t xml:space="preserve">, its </w:t>
            </w:r>
            <w:r>
              <w:t>4th</w:t>
            </w:r>
            <w:r>
              <w:t xml:space="preserve">, ranks </w:t>
            </w:r>
            <w:r>
              <w:t>44th</w:t>
            </w:r>
            <w:r>
              <w:t xml:space="preserve"> on Partnership Strength.</w:t>
            </w:r>
            <w:r>
              <w:rPr>
                <w:color w:val="4B5563"/>
                <w:vertAlign w:val="superscript"/>
              </w:rPr>
              <w:t>1,2</w:t>
            </w:r>
          </w:p>
        </w:tc>
      </w:tr>
    </w:tbl>
    <w:p/>
    <w:p>
      <w:pPr>
        <w:pStyle w:val="Heading1"/>
      </w:pPr>
      <w:r>
        <w:t>1. Energy security risks and why</w:t>
      </w:r>
    </w:p>
    <w:p>
      <w:r>
        <w:t>8</w:t>
      </w:r>
      <w:r>
        <w:t xml:space="preserve"> of </w:t>
      </w:r>
      <w:r>
        <w:t>Sweden</w:t>
      </w:r>
      <w:r>
        <w:t xml:space="preserve">'s </w:t>
      </w:r>
      <w:r>
        <w:t>30</w:t>
      </w:r>
      <w:r>
        <w:t xml:space="preserve"> placed sectors, those where both scores can be compared with other economies, sit in the two low-energy-security corners. Compared with other economies in each sector, its Energy Security is lowest in </w:t>
      </w:r>
      <w:r>
        <w:t>downstream gas</w:t>
      </w:r>
      <w:r>
        <w:t xml:space="preserve">, </w:t>
      </w:r>
      <w:r>
        <w:t>upstream coal</w:t>
      </w:r>
      <w:r>
        <w:t xml:space="preserve">, </w:t>
      </w:r>
      <w:r>
        <w:t>upstream oil</w:t>
      </w:r>
      <w:r>
        <w:t xml:space="preserve"> and </w:t>
      </w:r>
      <w:r>
        <w:t>downstream oil</w:t>
      </w:r>
      <w:r>
        <w:t xml:space="preserve">, all in the </w:t>
      </w:r>
      <w:r>
        <w:t>Secure</w:t>
      </w:r>
      <w:r>
        <w:t xml:space="preserve"> corner. It is higher than only </w:t>
      </w:r>
      <w:r>
        <w:t>7%</w:t>
      </w:r>
      <w:r>
        <w:t xml:space="preserve">, </w:t>
      </w:r>
      <w:r>
        <w:t>14%</w:t>
      </w:r>
      <w:r>
        <w:t xml:space="preserve">, </w:t>
      </w:r>
      <w:r>
        <w:t>18%</w:t>
      </w:r>
      <w:r>
        <w:t xml:space="preserve"> and </w:t>
      </w:r>
      <w:r>
        <w:t>29%</w:t>
      </w:r>
      <w:r>
        <w:t xml:space="preserve"> of the other </w:t>
      </w:r>
      <w:r>
        <w:t>98</w:t>
      </w:r>
      <w:r>
        <w:t xml:space="preserve">, </w:t>
      </w:r>
      <w:r>
        <w:t>95</w:t>
      </w:r>
      <w:r>
        <w:t xml:space="preserve">, </w:t>
      </w:r>
      <w:r>
        <w:t>96</w:t>
      </w:r>
      <w:r>
        <w:t xml:space="preserve"> and </w:t>
      </w:r>
      <w:r>
        <w:t>98</w:t>
      </w:r>
      <w:r>
        <w:t xml:space="preserve"> economies scored, with scores of </w:t>
      </w:r>
      <w:r>
        <w:t>0.35</w:t>
      </w:r>
      <w:r>
        <w:t xml:space="preserve">, </w:t>
      </w:r>
      <w:r>
        <w:t>0.26</w:t>
      </w:r>
      <w:r>
        <w:t xml:space="preserve">, </w:t>
      </w:r>
      <w:r>
        <w:t>0.37</w:t>
      </w:r>
      <w:r>
        <w:t xml:space="preserve"> and </w:t>
      </w:r>
      <w:r>
        <w:t>0.51</w:t>
      </w:r>
      <w:r>
        <w:t>. The paper's framework associates that corner, which pairs low opportunity with low energy security, with securing supply through partners.</w:t>
      </w:r>
      <w:r>
        <w:rPr>
          <w:color w:val="4B5563"/>
          <w:vertAlign w:val="superscript"/>
        </w:rPr>
        <w:t>1</w:t>
      </w:r>
    </w:p>
    <w:p>
      <w:r>
        <w:t xml:space="preserve">In </w:t>
      </w:r>
      <w:r>
        <w:t>downstream gas</w:t>
      </w:r>
      <w:r>
        <w:t xml:space="preserve">, energy access pulls the score down: over the years to </w:t>
      </w:r>
      <w:r>
        <w:t>2025</w:t>
      </w:r>
      <w:r>
        <w:t xml:space="preserve">, gas consumption per person changed by </w:t>
      </w:r>
      <w:r>
        <w:t>-16.7%</w:t>
      </w:r>
      <w:r>
        <w:t xml:space="preserve">, to </w:t>
      </w:r>
      <w:r>
        <w:t>2.87 GJ per person</w:t>
      </w:r>
      <w:r>
        <w:t xml:space="preserve">. In </w:t>
      </w:r>
      <w:r>
        <w:t>upstream coal</w:t>
      </w:r>
      <w:r>
        <w:t xml:space="preserve"> and </w:t>
      </w:r>
      <w:r>
        <w:t>upstream oil</w:t>
      </w:r>
      <w:r>
        <w:t xml:space="preserve">, import needs pull the score down: production minus consumption was </w:t>
      </w:r>
      <w:r>
        <w:t>-0.0608 EJ</w:t>
      </w:r>
      <w:r>
        <w:t xml:space="preserve"> for coal and </w:t>
      </w:r>
      <w:r>
        <w:t>-0.52 EJ</w:t>
      </w:r>
      <w:r>
        <w:t xml:space="preserve"> for oil in </w:t>
      </w:r>
      <w:r>
        <w:t>2025</w:t>
      </w:r>
      <w:r>
        <w:t xml:space="preserve">. Both figures take </w:t>
      </w:r>
      <w:r>
        <w:t>production from the U.S. Energy Information Administration's international statistics, as the Energy Institute does not report it separately</w:t>
      </w:r>
      <w:r>
        <w:t xml:space="preserve">. In </w:t>
      </w:r>
      <w:r>
        <w:t>upstream oil</w:t>
      </w:r>
      <w:r>
        <w:t>, reserves also pull it down: no oil reserves are recorded, which the index counts as zero.</w:t>
      </w:r>
      <w:r>
        <w:rPr>
          <w:color w:val="4B5563"/>
          <w:vertAlign w:val="superscript"/>
        </w:rPr>
        <w:t>3,4</w:t>
      </w:r>
    </w:p>
    <w:p>
      <w:r>
        <w:t xml:space="preserve">The data mark </w:t>
      </w:r>
      <w:r>
        <w:t>downstream solar, midstream nuclear and midstream wind</w:t>
      </w:r>
      <w:r>
        <w:t xml:space="preserve"> as its high-priority sectors, all in the </w:t>
      </w:r>
      <w:r>
        <w:t>Upgrade</w:t>
      </w:r>
      <w:r>
        <w:t xml:space="preserve"> corner. Their Energy Security is higher than </w:t>
      </w:r>
      <w:r>
        <w:t>37%</w:t>
      </w:r>
      <w:r>
        <w:t xml:space="preserve">, </w:t>
      </w:r>
      <w:r>
        <w:t>47%</w:t>
      </w:r>
      <w:r>
        <w:t xml:space="preserve"> and </w:t>
      </w:r>
      <w:r>
        <w:t>48%</w:t>
      </w:r>
      <w:r>
        <w:t xml:space="preserve"> of the other economies scored. In </w:t>
      </w:r>
      <w:r>
        <w:t>downstream solar</w:t>
      </w:r>
      <w:r>
        <w:t xml:space="preserve">, reserves pull the score down: on solar resource potential, </w:t>
      </w:r>
      <w:r>
        <w:t>Sweden</w:t>
      </w:r>
      <w:r>
        <w:t xml:space="preserve"> scores higher than only </w:t>
      </w:r>
      <w:r>
        <w:t>12%</w:t>
      </w:r>
      <w:r>
        <w:t xml:space="preserve"> of the other economies. In </w:t>
      </w:r>
      <w:r>
        <w:t>midstream nuclear</w:t>
      </w:r>
      <w:r>
        <w:t xml:space="preserve">, trade pulls it down: on its trade deficit in these goods, </w:t>
      </w:r>
      <w:r>
        <w:t>0.1% of GDP</w:t>
      </w:r>
      <w:r>
        <w:t xml:space="preserve"> in </w:t>
      </w:r>
      <w:r>
        <w:t>2023</w:t>
      </w:r>
      <w:r>
        <w:t xml:space="preserve">, it scores higher than only </w:t>
      </w:r>
      <w:r>
        <w:t>3%</w:t>
      </w:r>
      <w:r>
        <w:t xml:space="preserve"> of the other economies.</w:t>
      </w:r>
      <w:r>
        <w:rPr>
          <w:color w:val="4B5563"/>
          <w:vertAlign w:val="superscript"/>
        </w:rPr>
        <w:t>1,5</w:t>
      </w:r>
    </w:p>
    <w:p>
      <w:r>
        <w:t xml:space="preserve">For context, its largest suppliers in </w:t>
      </w:r>
      <w:r>
        <w:t>upstream oil</w:t>
      </w:r>
      <w:r>
        <w:t xml:space="preserve"> in </w:t>
      </w:r>
      <w:r>
        <w:t>2024</w:t>
      </w:r>
      <w:r>
        <w:t xml:space="preserve"> were </w:t>
      </w:r>
      <w:r>
        <w:t>Norway</w:t>
      </w:r>
      <w:r>
        <w:t xml:space="preserve"> (</w:t>
      </w:r>
      <w:r>
        <w:t>35.3%</w:t>
      </w:r>
      <w:r>
        <w:t xml:space="preserve"> of imports, which totalled </w:t>
      </w:r>
      <w:r>
        <w:t>USD 17 bn</w:t>
      </w:r>
      <w:r>
        <w:t xml:space="preserve">) and the </w:t>
      </w:r>
      <w:r>
        <w:t>United States</w:t>
      </w:r>
      <w:r>
        <w:t xml:space="preserve"> (</w:t>
      </w:r>
      <w:r>
        <w:t>9.7%</w:t>
      </w:r>
      <w:r>
        <w:t xml:space="preserve">). In </w:t>
      </w:r>
      <w:r>
        <w:t>upstream coal</w:t>
      </w:r>
      <w:r>
        <w:t xml:space="preserve">, </w:t>
      </w:r>
      <w:r>
        <w:t>Australia</w:t>
      </w:r>
      <w:r>
        <w:t xml:space="preserve"> supplied </w:t>
      </w:r>
      <w:r>
        <w:t>59.1%</w:t>
      </w:r>
      <w:r>
        <w:t xml:space="preserve"> of its imports.</w:t>
      </w:r>
      <w:r>
        <w:rPr>
          <w:color w:val="4B5563"/>
          <w:vertAlign w:val="superscript"/>
        </w:rPr>
        <w:t>2</w:t>
      </w:r>
    </w:p>
    <w:p>
      <w:pPr>
        <w:pStyle w:val="Heading1"/>
      </w:pPr>
      <w:r>
        <w:t>2. Economic opportunities and why</w:t>
      </w:r>
    </w:p>
    <w:p>
      <w:r>
        <w:t>24</w:t>
      </w:r>
      <w:r>
        <w:t xml:space="preserve"> of the </w:t>
      </w:r>
      <w:r>
        <w:t>30</w:t>
      </w:r>
      <w:r>
        <w:t xml:space="preserve"> placed sectors sit in the two high-opportunity corners, where Economic Opportunity is above the sector's middle economy. Compared with other economies in each sector, its Economic Opportunity is highest in </w:t>
      </w:r>
      <w:r>
        <w:t>midstream gas</w:t>
      </w:r>
      <w:r>
        <w:t xml:space="preserve">, </w:t>
      </w:r>
      <w:r>
        <w:t>midstream nuclear</w:t>
      </w:r>
      <w:r>
        <w:t xml:space="preserve"> and </w:t>
      </w:r>
      <w:r>
        <w:t>downstream wind</w:t>
      </w:r>
      <w:r>
        <w:t xml:space="preserve">. It is higher than </w:t>
      </w:r>
      <w:r>
        <w:t>92%</w:t>
      </w:r>
      <w:r>
        <w:t xml:space="preserve">, </w:t>
      </w:r>
      <w:r>
        <w:t>92%</w:t>
      </w:r>
      <w:r>
        <w:t xml:space="preserve"> and </w:t>
      </w:r>
      <w:r>
        <w:t>91%</w:t>
      </w:r>
      <w:r>
        <w:t xml:space="preserve"> of the other </w:t>
      </w:r>
      <w:r>
        <w:t>155</w:t>
      </w:r>
      <w:r>
        <w:t xml:space="preserve">, </w:t>
      </w:r>
      <w:r>
        <w:t>153</w:t>
      </w:r>
      <w:r>
        <w:t xml:space="preserve"> and </w:t>
      </w:r>
      <w:r>
        <w:t>92</w:t>
      </w:r>
      <w:r>
        <w:t xml:space="preserve"> economies scored, with scores of </w:t>
      </w:r>
      <w:r>
        <w:t>0.62</w:t>
      </w:r>
      <w:r>
        <w:t xml:space="preserve">, </w:t>
      </w:r>
      <w:r>
        <w:t>0.58</w:t>
      </w:r>
      <w:r>
        <w:t xml:space="preserve"> and </w:t>
      </w:r>
      <w:r>
        <w:t>0.55</w:t>
      </w:r>
      <w:r>
        <w:t xml:space="preserve">. Of these, </w:t>
      </w:r>
      <w:r>
        <w:t>midstream nuclear</w:t>
      </w:r>
      <w:r>
        <w:t xml:space="preserve"> sits in the </w:t>
      </w:r>
      <w:r>
        <w:t>Upgrade</w:t>
      </w:r>
      <w:r>
        <w:t xml:space="preserve"> corner and the others in the </w:t>
      </w:r>
      <w:r>
        <w:t>Grow</w:t>
      </w:r>
      <w:r>
        <w:t xml:space="preserve"> corner.</w:t>
      </w:r>
      <w:r>
        <w:rPr>
          <w:color w:val="4B5563"/>
          <w:vertAlign w:val="superscript"/>
        </w:rPr>
        <w:t>1</w:t>
      </w:r>
    </w:p>
    <w:p>
      <w:r>
        <w:t xml:space="preserve">Trade pushes the score up most in </w:t>
      </w:r>
      <w:r>
        <w:t>midstream gas</w:t>
      </w:r>
      <w:r>
        <w:t xml:space="preserve"> and </w:t>
      </w:r>
      <w:r>
        <w:t>midstream nuclear</w:t>
      </w:r>
      <w:r>
        <w:t xml:space="preserve">. </w:t>
      </w:r>
      <w:r>
        <w:t>Sweden</w:t>
      </w:r>
      <w:r>
        <w:t xml:space="preserve"> reported exports of </w:t>
      </w:r>
      <w:r>
        <w:t>USD 2.32 bn</w:t>
      </w:r>
      <w:r>
        <w:t xml:space="preserve"> and </w:t>
      </w:r>
      <w:r>
        <w:t>USD 827 m</w:t>
      </w:r>
      <w:r>
        <w:t xml:space="preserve"> in </w:t>
      </w:r>
      <w:r>
        <w:t>2024</w:t>
      </w:r>
      <w:r>
        <w:t xml:space="preserve">, with revealed comparative advantages of </w:t>
      </w:r>
      <w:r>
        <w:t>1.66</w:t>
      </w:r>
      <w:r>
        <w:t xml:space="preserve"> and </w:t>
      </w:r>
      <w:r>
        <w:t>4.74</w:t>
      </w:r>
      <w:r>
        <w:t xml:space="preserve">. In </w:t>
      </w:r>
      <w:r>
        <w:t>midstream nuclear</w:t>
      </w:r>
      <w:r>
        <w:t xml:space="preserve">, </w:t>
      </w:r>
      <w:r>
        <w:t>Sweden</w:t>
      </w:r>
      <w:r>
        <w:t xml:space="preserve"> held </w:t>
      </w:r>
      <w:r>
        <w:t>2.9%</w:t>
      </w:r>
      <w:r>
        <w:t xml:space="preserve"> of world exports in </w:t>
      </w:r>
      <w:r>
        <w:t>2023</w:t>
      </w:r>
      <w:r>
        <w:t xml:space="preserve">. For context, </w:t>
      </w:r>
      <w:r>
        <w:t>France</w:t>
      </w:r>
      <w:r>
        <w:t xml:space="preserve"> and </w:t>
      </w:r>
      <w:r>
        <w:t>Ukraine</w:t>
      </w:r>
      <w:r>
        <w:t xml:space="preserve"> took </w:t>
      </w:r>
      <w:r>
        <w:t>39.2%</w:t>
      </w:r>
      <w:r>
        <w:t xml:space="preserve"> and </w:t>
      </w:r>
      <w:r>
        <w:t>36.9%</w:t>
      </w:r>
      <w:r>
        <w:t xml:space="preserve"> of its exports in this sector in </w:t>
      </w:r>
      <w:r>
        <w:t>2024</w:t>
      </w:r>
      <w:r>
        <w:t xml:space="preserve"> (reconciled trade data).</w:t>
      </w:r>
      <w:r>
        <w:rPr>
          <w:color w:val="4B5563"/>
          <w:vertAlign w:val="superscript"/>
        </w:rPr>
        <w:t>2,5,6</w:t>
      </w:r>
    </w:p>
    <w:p>
      <w:r>
        <w:t xml:space="preserve">In </w:t>
      </w:r>
      <w:r>
        <w:t>downstream wind</w:t>
      </w:r>
      <w:r>
        <w:t xml:space="preserve">, investment and production push the score up. Production was </w:t>
      </w:r>
      <w:r>
        <w:t>38.7 TWh</w:t>
      </w:r>
      <w:r>
        <w:t xml:space="preserve"> in </w:t>
      </w:r>
      <w:r>
        <w:t>2025</w:t>
      </w:r>
      <w:r>
        <w:t xml:space="preserve">, and on annual investment </w:t>
      </w:r>
      <w:r>
        <w:t>Sweden</w:t>
      </w:r>
      <w:r>
        <w:t xml:space="preserve"> scores higher than </w:t>
      </w:r>
      <w:r>
        <w:t>87%</w:t>
      </w:r>
      <w:r>
        <w:t xml:space="preserve"> of the other economies.</w:t>
      </w:r>
      <w:r>
        <w:rPr>
          <w:color w:val="4B5563"/>
          <w:vertAlign w:val="superscript"/>
        </w:rPr>
        <w:t>1,3</w:t>
      </w:r>
    </w:p>
    <w:p>
      <w:pPr>
        <w:pStyle w:val="Heading1"/>
      </w:pPr>
      <w:r>
        <w:t>3. Sectoral priorities and the existing policy posture</w:t>
      </w:r>
    </w:p>
    <w:p>
      <w:r>
        <w:t xml:space="preserve">The Strategic Index ranks a country's own sectors by combining opportunity, security need, policy activity, the supply-chain stage and the technology's low-emission value. On the paper's weighting, it puts </w:t>
      </w:r>
      <w:r>
        <w:t>upstream batteries</w:t>
      </w:r>
      <w:r>
        <w:t xml:space="preserve"> </w:t>
      </w:r>
      <w:r>
        <w:t>1st</w:t>
      </w:r>
      <w:r>
        <w:t xml:space="preserve">, </w:t>
      </w:r>
      <w:r>
        <w:t>downstream batteries</w:t>
      </w:r>
      <w:r>
        <w:t xml:space="preserve"> </w:t>
      </w:r>
      <w:r>
        <w:t>2nd</w:t>
      </w:r>
      <w:r>
        <w:t xml:space="preserve">, </w:t>
      </w:r>
      <w:r>
        <w:t>upstream nuclear</w:t>
      </w:r>
      <w:r>
        <w:t xml:space="preserve"> </w:t>
      </w:r>
      <w:r>
        <w:t>3rd</w:t>
      </w:r>
      <w:r>
        <w:t xml:space="preserve">, </w:t>
      </w:r>
      <w:r>
        <w:t>upstream electric grid</w:t>
      </w:r>
      <w:r>
        <w:t xml:space="preserve"> </w:t>
      </w:r>
      <w:r>
        <w:t>4th</w:t>
      </w:r>
      <w:r>
        <w:t xml:space="preserve"> and </w:t>
      </w:r>
      <w:r>
        <w:t>upstream wind</w:t>
      </w:r>
      <w:r>
        <w:t xml:space="preserve"> </w:t>
      </w:r>
      <w:r>
        <w:t>5th</w:t>
      </w:r>
      <w:r>
        <w:t xml:space="preserve"> among </w:t>
      </w:r>
      <w:r>
        <w:t>Sweden</w:t>
      </w:r>
      <w:r>
        <w:t xml:space="preserve">'s own sectors. The leader, </w:t>
      </w:r>
      <w:r>
        <w:t>upstream batteries</w:t>
      </w:r>
      <w:r>
        <w:t xml:space="preserve">, scores </w:t>
      </w:r>
      <w:r>
        <w:t>0.67</w:t>
      </w:r>
      <w:r>
        <w:t xml:space="preserve">, </w:t>
      </w:r>
      <w:r>
        <w:t>0.015</w:t>
      </w:r>
      <w:r>
        <w:t xml:space="preserve"> ahead of the next. The sectors that follow are almost tied, with gaps of </w:t>
      </w:r>
      <w:r>
        <w:t>0.003</w:t>
      </w:r>
      <w:r>
        <w:t xml:space="preserve">, </w:t>
      </w:r>
      <w:r>
        <w:t>0.008</w:t>
      </w:r>
      <w:r>
        <w:t xml:space="preserve">, </w:t>
      </w:r>
      <w:r>
        <w:t>0.006</w:t>
      </w:r>
      <w:r>
        <w:t xml:space="preserve"> and </w:t>
      </w:r>
      <w:r>
        <w:t>0.000</w:t>
      </w:r>
      <w:r>
        <w:t xml:space="preserve">. In </w:t>
      </w:r>
      <w:r>
        <w:t>downstream batteries</w:t>
      </w:r>
      <w:r>
        <w:t xml:space="preserve">, the policy term adds </w:t>
      </w:r>
      <w:r>
        <w:t>0.200</w:t>
      </w:r>
      <w:r>
        <w:t xml:space="preserve">; without it, the sector falls into the </w:t>
      </w:r>
      <w:r>
        <w:t>middle third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 allied pick, the leading upstream or midstream sector after a screen for a resource base, is </w:t>
      </w:r>
      <w:r>
        <w:t>upstream nuclear</w:t>
      </w:r>
      <w:r>
        <w:t xml:space="preserve"> (</w:t>
      </w:r>
      <w:r>
        <w:t>0.65</w:t>
      </w:r>
      <w:r>
        <w:t xml:space="preserve">), </w:t>
      </w:r>
      <w:r>
        <w:t>0.014</w:t>
      </w:r>
      <w:r>
        <w:t xml:space="preserve"> ahead of </w:t>
      </w:r>
      <w:r>
        <w:t>upstream wind</w:t>
      </w:r>
      <w:r>
        <w:t xml:space="preserve">. The screen leaves out </w:t>
      </w:r>
      <w:r>
        <w:t>upstream batteries</w:t>
      </w:r>
      <w:r>
        <w:t xml:space="preserve">: no resource base is recorded. The pick sits in the </w:t>
      </w:r>
      <w:r>
        <w:t>Watch</w:t>
      </w:r>
      <w:r>
        <w:t xml:space="preserve"> corner (low opportunity, high energy security).</w:t>
      </w:r>
      <w:r>
        <w:rPr>
          <w:color w:val="4B5563"/>
          <w:vertAlign w:val="superscript"/>
        </w:rPr>
        <w:t>1,7</w:t>
      </w:r>
    </w:p>
    <w:p>
      <w:r>
        <w:t xml:space="preserve">Comparing priority, the index without its policy term, with policy activity, </w:t>
      </w:r>
      <w:r>
        <w:t>upstream batteries, upstream nuclear, upstream electric grid, midstream batteries and upstream wind</w:t>
      </w:r>
      <w:r>
        <w:t xml:space="preserve"> combine top priority with the most policy. No top-priority sector falls in the group with the least policy, while </w:t>
      </w:r>
      <w:r>
        <w:t>downstream wind</w:t>
      </w:r>
      <w:r>
        <w:t xml:space="preserve"> combines bottom priority with the most policy. The sectors with bottom priority and the least policy are </w:t>
      </w:r>
      <w:r>
        <w:t>upstream oil, upstream coal, midstream gas, midstream oil, midstream coal, downstream oil and downstream coal</w:t>
      </w:r>
      <w:r>
        <w:t xml:space="preserve">. </w:t>
      </w:r>
      <w:r>
        <w:t>Sweden</w:t>
      </w:r>
      <w:r>
        <w:t xml:space="preserve"> carries the Climate Action Tracker rating </w:t>
      </w:r>
      <w:r>
        <w:t>Insufficient</w:t>
      </w:r>
      <w:r>
        <w:t xml:space="preserve"> (</w:t>
      </w:r>
      <w:r>
        <w:t>November 2024</w:t>
      </w:r>
      <w:r>
        <w:t xml:space="preserve">) and has </w:t>
      </w:r>
      <w:r>
        <w:t>221</w:t>
      </w:r>
      <w:r>
        <w:t xml:space="preserve"> records in the International Energy Agency's Policies and Measures database, </w:t>
      </w:r>
      <w:r>
        <w:t>103</w:t>
      </w:r>
      <w:r>
        <w:t xml:space="preserve"> of which name a technology.</w:t>
      </w:r>
      <w:r>
        <w:rPr>
          <w:color w:val="4B5563"/>
          <w:vertAlign w:val="superscript"/>
        </w:rPr>
        <w:t>1,8,9</w:t>
      </w:r>
    </w:p>
    <w:p>
      <w:pPr>
        <w:pStyle w:val="Heading1"/>
      </w:pPr>
      <w:r>
        <w:t>4. Partnership priorities and why</w:t>
      </w:r>
    </w:p>
    <w:p>
      <w:r>
        <w:t xml:space="preserve">The Partnership Strength Index rates partners as suppliers (Friendshore), as markets for exports (Partnership Opportunity) and, for middle- and lower-income partners, by Development Potential. From </w:t>
      </w:r>
      <w:r>
        <w:t>Sweden</w:t>
      </w:r>
      <w:r>
        <w:t xml:space="preserve">'s viewpoint it ranks </w:t>
      </w:r>
      <w:r>
        <w:t>Finland</w:t>
      </w:r>
      <w:r>
        <w:t xml:space="preserve"> </w:t>
      </w:r>
      <w:r>
        <w:t>1st</w:t>
      </w:r>
      <w:r>
        <w:t xml:space="preserve">, </w:t>
      </w:r>
      <w:r>
        <w:t>Norway</w:t>
      </w:r>
      <w:r>
        <w:t xml:space="preserve"> </w:t>
      </w:r>
      <w:r>
        <w:t>2nd</w:t>
      </w:r>
      <w:r>
        <w:t xml:space="preserve">, the </w:t>
      </w:r>
      <w:r>
        <w:t>United States</w:t>
      </w:r>
      <w:r>
        <w:t xml:space="preserve"> </w:t>
      </w:r>
      <w:r>
        <w:t>3rd</w:t>
      </w:r>
      <w:r>
        <w:t xml:space="preserve">, </w:t>
      </w:r>
      <w:r>
        <w:t>Germany</w:t>
      </w:r>
      <w:r>
        <w:t xml:space="preserve"> </w:t>
      </w:r>
      <w:r>
        <w:t>4th</w:t>
      </w:r>
      <w:r>
        <w:t xml:space="preserve"> and </w:t>
      </w:r>
      <w:r>
        <w:t>Denmark</w:t>
      </w:r>
      <w:r>
        <w:t xml:space="preserve"> </w:t>
      </w:r>
      <w:r>
        <w:t>5th</w:t>
      </w:r>
      <w:r>
        <w:t xml:space="preserve"> of </w:t>
      </w:r>
      <w:r>
        <w:t>191</w:t>
      </w:r>
      <w:r>
        <w:t xml:space="preserve"> partners. </w:t>
      </w:r>
      <w:r>
        <w:t>Finland</w:t>
      </w:r>
      <w:r>
        <w:t xml:space="preserve">, the </w:t>
      </w:r>
      <w:r>
        <w:t>United States</w:t>
      </w:r>
      <w:r>
        <w:t xml:space="preserve"> and </w:t>
      </w:r>
      <w:r>
        <w:t>Germany</w:t>
      </w:r>
      <w:r>
        <w:t xml:space="preserve"> stand out most as a </w:t>
      </w:r>
      <w:r>
        <w:t>reliable supplier</w:t>
      </w:r>
      <w:r>
        <w:t xml:space="preserve">. </w:t>
      </w:r>
      <w:r>
        <w:t>Germany</w:t>
      </w:r>
      <w:r>
        <w:t xml:space="preserve">'s best sectors as a supplier, </w:t>
      </w:r>
      <w:r>
        <w:t>downstream solar, downstream batteries, upstream green hydrogen, midstream nuclear and midstream wind</w:t>
      </w:r>
      <w:r>
        <w:t xml:space="preserve">, include each of </w:t>
      </w:r>
      <w:r>
        <w:t>Sweden</w:t>
      </w:r>
      <w:r>
        <w:t xml:space="preserve">'s high-priority sectors. </w:t>
      </w:r>
      <w:r>
        <w:t>Norway</w:t>
      </w:r>
      <w:r>
        <w:t xml:space="preserve"> and </w:t>
      </w:r>
      <w:r>
        <w:t>Denmark</w:t>
      </w:r>
      <w:r>
        <w:t xml:space="preserve"> stand out most as an </w:t>
      </w:r>
      <w:r>
        <w:t>export market</w:t>
      </w:r>
      <w:r>
        <w:t xml:space="preserve">; </w:t>
      </w:r>
      <w:r>
        <w:t>Norway</w:t>
      </w:r>
      <w:r>
        <w:t xml:space="preserve">'s best sectors as a market are </w:t>
      </w:r>
      <w:r>
        <w:t>upstream electric vehicles, upstream batteries, midstream batteries, midstream solar and midstream wind</w:t>
      </w:r>
      <w:r>
        <w:t>.</w:t>
      </w:r>
      <w:r>
        <w:rPr>
          <w:color w:val="4B5563"/>
          <w:vertAlign w:val="superscript"/>
        </w:rPr>
        <w:t>1</w:t>
      </w:r>
    </w:p>
    <w:p>
      <w:r>
        <w:t xml:space="preserve">These priorities match today's ties. </w:t>
      </w:r>
      <w:r>
        <w:t>Germany</w:t>
      </w:r>
      <w:r>
        <w:t xml:space="preserve"> is </w:t>
      </w:r>
      <w:r>
        <w:t>Sweden</w:t>
      </w:r>
      <w:r>
        <w:t xml:space="preserve">'s </w:t>
      </w:r>
      <w:r>
        <w:t>1st</w:t>
      </w:r>
      <w:r>
        <w:t xml:space="preserve"> trade partner on average across its energy-goods baskets, </w:t>
      </w:r>
      <w:r>
        <w:t>Norway</w:t>
      </w:r>
      <w:r>
        <w:t xml:space="preserve"> its </w:t>
      </w:r>
      <w:r>
        <w:t>2nd</w:t>
      </w:r>
      <w:r>
        <w:t xml:space="preserve">, </w:t>
      </w:r>
      <w:r>
        <w:t>Finland</w:t>
      </w:r>
      <w:r>
        <w:t xml:space="preserve"> its </w:t>
      </w:r>
      <w:r>
        <w:t>3rd</w:t>
      </w:r>
      <w:r>
        <w:t xml:space="preserve">, the </w:t>
      </w:r>
      <w:r>
        <w:t>United States</w:t>
      </w:r>
      <w:r>
        <w:t xml:space="preserve"> its </w:t>
      </w:r>
      <w:r>
        <w:t>5th</w:t>
      </w:r>
      <w:r>
        <w:t xml:space="preserve"> and </w:t>
      </w:r>
      <w:r>
        <w:t>Denmark</w:t>
      </w:r>
      <w:r>
        <w:t xml:space="preserve"> its </w:t>
      </w:r>
      <w:r>
        <w:t>10th</w:t>
      </w:r>
      <w:r>
        <w:t xml:space="preserve">. Each is </w:t>
      </w:r>
      <w:r>
        <w:t>a priority partner with strong ties today</w:t>
      </w:r>
      <w:r>
        <w:t xml:space="preserve"> and votes in the </w:t>
      </w:r>
      <w:r>
        <w:t>same bloc</w:t>
      </w:r>
      <w:r>
        <w:t xml:space="preserve"> at the UN. </w:t>
      </w:r>
      <w:r>
        <w:t>Finland</w:t>
      </w:r>
      <w:r>
        <w:t xml:space="preserve">, </w:t>
      </w:r>
      <w:r>
        <w:t>Norway</w:t>
      </w:r>
      <w:r>
        <w:t xml:space="preserve">, the </w:t>
      </w:r>
      <w:r>
        <w:t>United States</w:t>
      </w:r>
      <w:r>
        <w:t xml:space="preserve"> and </w:t>
      </w:r>
      <w:r>
        <w:t>Germany</w:t>
      </w:r>
      <w:r>
        <w:t xml:space="preserve"> also share membership of </w:t>
      </w:r>
      <w:r>
        <w:t>NATO and the Minerals Security Partnership</w:t>
      </w:r>
      <w:r>
        <w:t xml:space="preserve"> with </w:t>
      </w:r>
      <w:r>
        <w:t>Sweden</w:t>
      </w:r>
      <w:r>
        <w:t xml:space="preserve">. </w:t>
      </w:r>
      <w:r>
        <w:t>Poland</w:t>
      </w:r>
      <w:r>
        <w:t xml:space="preserve">, its </w:t>
      </w:r>
      <w:r>
        <w:t>6th</w:t>
      </w:r>
      <w:r>
        <w:t xml:space="preserve"> trade partner, ranks </w:t>
      </w:r>
      <w:r>
        <w:t>13th</w:t>
      </w:r>
      <w:r>
        <w:t xml:space="preserve"> on Partnership Strength. By contrast, </w:t>
      </w:r>
      <w:r>
        <w:t>China</w:t>
      </w:r>
      <w:r>
        <w:t xml:space="preserve"> is its </w:t>
      </w:r>
      <w:r>
        <w:t>4th</w:t>
      </w:r>
      <w:r>
        <w:t xml:space="preserve"> trade partner but ranks </w:t>
      </w:r>
      <w:r>
        <w:t>44th</w:t>
      </w:r>
      <w:r>
        <w:t xml:space="preserve">, and they vote in </w:t>
      </w:r>
      <w:r>
        <w:t>opposite blocs</w:t>
      </w:r>
      <w:r>
        <w:t xml:space="preserve"> at the UN.</w:t>
      </w:r>
      <w:r>
        <w:rPr>
          <w:color w:val="4B5563"/>
          <w:vertAlign w:val="superscript"/>
        </w:rPr>
        <w:t>1,2,10,11</w:t>
      </w:r>
    </w:p>
    <w:p>
      <w:r>
        <w:t xml:space="preserve">As a partner to the coalition, </w:t>
      </w:r>
      <w:r>
        <w:t>Sweden</w:t>
      </w:r>
      <w:r>
        <w:t xml:space="preserve"> ranks </w:t>
      </w:r>
      <w:r>
        <w:t>12th</w:t>
      </w:r>
      <w:r>
        <w:t xml:space="preserve"> of </w:t>
      </w:r>
      <w:r>
        <w:t>192</w:t>
      </w:r>
      <w:r>
        <w:t xml:space="preserve"> economies, on Partnership Strength averaged over the core members' viewpoints. In the allied network design, which spreads production of each upstream and midstream sector across coalition members, its largest designed share is </w:t>
      </w:r>
      <w:r>
        <w:t>1.5%</w:t>
      </w:r>
      <w:r>
        <w:t xml:space="preserve"> of </w:t>
      </w:r>
      <w:r>
        <w:t>midstream nuclear</w:t>
      </w:r>
      <w:r>
        <w:t>.</w:t>
      </w:r>
      <w:r>
        <w:rPr>
          <w:color w:val="4B5563"/>
          <w:vertAlign w:val="superscript"/>
        </w:rPr>
        <w:t>1,7</w:t>
      </w:r>
    </w:p>
    <w:p>
      <w:pPr>
        <w:pStyle w:val="Heading1"/>
      </w:pPr>
      <w:r>
        <w:t>5. Data notes and caveats</w:t>
      </w:r>
    </w:p>
    <w:p>
      <w:r>
        <w:t xml:space="preserve">Country Insights shows these values as of </w:t>
      </w:r>
      <w:r>
        <w:t>12 October 2026</w:t>
      </w:r>
      <w:r>
        <w:t xml:space="preserve">. </w:t>
      </w:r>
      <w:r>
        <w:t>Scores compare Sweden with other economies in the same sector; they are not measures of risk or profit in absolute terms.</w:t>
      </w:r>
      <w:r>
        <w:t xml:space="preserve"> </w:t>
      </w:r>
      <w:r>
        <w:t>All index values are the paper's baseline as of 12 October 2026; Strategic Insights recomputes them under other weightings.</w:t>
      </w:r>
      <w:r>
        <w:t xml:space="preserve"> </w:t>
      </w:r>
      <w:r>
        <w:t>Strategic Index scores within 0.01 of each other are almost tied: small changes in the data or the weights can swap their order.</w:t>
      </w:r>
      <w:r>
        <w:t xml:space="preserve"> </w:t>
      </w:r>
      <w:r>
        <w:t>Some figures behind these scores are filled in where the source has no value: with zero where a source lists every holder, otherwise with the world average.</w:t>
      </w:r>
      <w:r>
        <w:t xml:space="preserve"> </w:t>
      </w:r>
      <w:r>
        <w:t>Many allied picks are close calls: in the paper, 37% of them are within 0.01 of the runner-up.</w:t>
      </w:r>
      <w:r>
        <w:t xml:space="preserve"> </w:t>
      </w:r>
      <w:r>
        <w:t>In the allied network design the European Union is one producer; Sweden's shares are derived from its weight within the EU.</w:t>
      </w:r>
      <w:r>
        <w:t xml:space="preserve"> </w:t>
      </w:r>
      <w:r>
        <w:t>The Climate Action Tracker rates the EU as a whole; Sweden carries the EU's rating.</w:t>
      </w:r>
      <w:r>
        <w:t xml:space="preserve"> </w:t>
      </w:r>
      <w:r>
        <w:t>Sweden's counts leave out the EU's own 438 International Energy Agency policy records.</w:t>
      </w:r>
      <w:r>
        <w:t xml:space="preserve"> </w:t>
      </w:r>
      <w:r>
        <w:t>Trade figures count trade with other EU members.</w:t>
      </w:r>
    </w:p>
    <w:p>
      <w:pPr>
        <w:pStyle w:val="Heading2"/>
        <w:pBdr>
          <w:top w:val="single" w:sz="4" w:space="4" w:color="D1D5DB"/>
        </w:pBdr>
      </w:pPr>
      <w:r>
        <w:t>Sources</w:t>
      </w:r>
    </w:p>
    <w:p>
      <w:pPr>
        <w:pStyle w:val="ListNumber"/>
      </w:pPr>
      <w:r>
        <w:rPr>
          <w:sz w:val="17"/>
        </w:rPr>
        <w:t>Energy Security, Economic Opportunity, Strategic Index and Partnership Strength Index, paper baseline (Opportunity Security Indices pipeline); CC BY 4.0 (the paper's indices).</w:t>
      </w:r>
    </w:p>
    <w:p>
      <w:pPr>
        <w:pStyle w:val="ListNumber"/>
      </w:pPr>
      <w:r>
        <w:rPr>
          <w:sz w:val="17"/>
        </w:rPr>
        <w:t>United Nations, UN Comtrade Database, HS6 bilateral trade (all reporters), 2020 and 2024; reconciled by the authors (pulled 2026-10-07 to 2026-10-09); attribution; https://comtradeplus.un.org/.</w:t>
      </w:r>
    </w:p>
    <w:p>
      <w:pPr>
        <w:pStyle w:val="ListNumber"/>
      </w:pPr>
      <w:r>
        <w:rPr>
          <w:sz w:val="17"/>
        </w:rPr>
        <w:t>Energy Institute, Statistical Review of World Energy 2026 (data to 2025); attribution; https://www.energyinst.org/statistical-review.</w:t>
      </w:r>
    </w:p>
    <w:p>
      <w:pPr>
        <w:pStyle w:val="ListNumber"/>
      </w:pPr>
      <w:r>
        <w:rPr>
          <w:sz w:val="17"/>
        </w:rPr>
        <w:t>U.S. Energy Information Administration, International Energy Statistics, bulk file INTL.zip: crude oil incl. lease condensate, NGPL, dry natural gas and coal production; petroleum and other liquids, dry natural gas and coal consumption, bulk file dated 2026-10-03 (oil production to 2025; gas and coal to 2024); open; https://www.eia.gov/international/data/world.</w:t>
      </w:r>
    </w:p>
    <w:p>
      <w:pPr>
        <w:pStyle w:val="ListNumber"/>
      </w:pPr>
      <w:r>
        <w:rPr>
          <w:sz w:val="17"/>
        </w:rPr>
        <w:t>Growth Lab at Harvard University, The Atlas of Economic Complexity, HS92 6-digit country-product-year data (data to 2023); attribution; https://atlas.hks.harvard.edu/.</w:t>
      </w:r>
    </w:p>
    <w:p>
      <w:pPr>
        <w:pStyle w:val="ListNumber"/>
      </w:pPr>
      <w:r>
        <w:rPr>
          <w:sz w:val="17"/>
        </w:rPr>
        <w:t>United Nations, UN Comtrade Database, exports to World by reporter, 2024 (2024 data); attribution; https://comtradeplus.un.org/.</w:t>
      </w:r>
    </w:p>
    <w:p>
      <w:pPr>
        <w:pStyle w:val="ListNumber"/>
      </w:pPr>
      <w:r>
        <w:rPr>
          <w:sz w:val="17"/>
        </w:rPr>
        <w:t>Allied network design (the paper's model design of coalition production shares).</w:t>
      </w:r>
    </w:p>
    <w:p>
      <w:pPr>
        <w:pStyle w:val="ListNumber"/>
      </w:pPr>
      <w:r>
        <w:rPr>
          <w:sz w:val="17"/>
        </w:rPr>
        <w:t>Climate Action Tracker, country ratings (ratings updated 2022-2025); attribution; https://climateactiontracker.org/.</w:t>
      </w:r>
    </w:p>
    <w:p>
      <w:pPr>
        <w:pStyle w:val="ListNumber"/>
      </w:pPr>
      <w:r>
        <w:rPr>
          <w:sz w:val="17"/>
        </w:rPr>
        <w:t>International Energy Agency, Policies and Measures Database (export of 2026-09-30); attribution; https://www.iea.org/policies.</w:t>
      </w:r>
    </w:p>
    <w:p>
      <w:pPr>
        <w:pStyle w:val="ListNumber"/>
      </w:pPr>
      <w:r>
        <w:rPr>
          <w:sz w:val="17"/>
        </w:rPr>
        <w:t>Bailey, M., Strezhnev, A. and Voeten, E., United Nations General Assembly Voting Data, ideal points (Harvard Dataverse V39.0) (sessions to 2023); attribution; https://dataverse.harvard.edu/dataset.xhtml?persistentId=hdl:1902.1/12379.</w:t>
      </w:r>
    </w:p>
    <w:p>
      <w:pPr>
        <w:pStyle w:val="ListNumber"/>
      </w:pPr>
      <w:r>
        <w:rPr>
          <w:sz w:val="17"/>
        </w:rPr>
        <w:t>Economic-security agreements: G7, NATO, Indo-Pacific Economic Framework, Minerals Security Partnership (and Forum), U.S. free-trade agreements (compiled by the authors from official membership lists).</w:t>
      </w:r>
    </w:p>
    <w:p>
      <w:pPr>
        <w:pBdr>
          <w:top w:val="single" w:sz="4" w:space="4" w:color="D1D5DB"/>
        </w:pBdr>
      </w:pPr>
      <w:r>
        <w:rPr>
          <w:i/>
          <w:color w:val="4B5563"/>
          <w:sz w:val="18"/>
        </w:rPr>
        <w:t>AI-generated from the data and checked against it; paper baseline as of 12 October 2026.</w:t>
      </w:r>
    </w:p>
    <w:sectPr w:rsidR="00FC693F" w:rsidRPr="0006063C" w:rsidSect="00034616">
      <w:footerReference w:type="default" r:id="rId9"/>
      <w:pgSz w:w="12240" w:h="15840"/>
      <w:pgMar w:top="1080" w:right="1080" w:bottom="108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i/>
        <w:color w:val="4B5563"/>
        <w:sz w:val="16"/>
      </w:rPr>
      <w:t>AI-generated from the data and checked against it; paper baseline as of 12 October 2026.  Allied Industrial Base Explorer, Country Insights: Sweden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color w:val="11182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11827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1182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color w:val="111827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Arial" w:hAnsi="Arial"/>
      <w:color w:val="111827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rFonts w:ascii="Arial" w:hAnsi="Arial"/>
      <w:color w:val="111827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Sweden: energy security, economic opportunity and partnership priorities</dc:title>
  <dc:subject>Country Insights policy memo</dc:subject>
  <dc:creator>NEIS Center, Allied Industrial Base Explorer (AI-generated, checked against the data)</dc:creator>
  <cp:keywords>energy security; economic opportunity; Strategic Index; Partnership Strength Index; SWE</cp:keywords>
  <dc:description>paper baseline as of 12 October 2026; fact sheet sha256 a7d89dc6f2a0afa526e44ab6a99ced85ab29024628e225176ec02a4e67cd02a8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