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Ukraine: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>17</w:t>
            </w:r>
            <w:r>
              <w:t xml:space="preserve"> of </w:t>
            </w:r>
            <w:r>
              <w:t>Ukraine</w:t>
            </w:r>
            <w:r>
              <w:t xml:space="preserve">'s </w:t>
            </w:r>
            <w:r>
              <w:t>28</w:t>
            </w:r>
            <w:r>
              <w:t xml:space="preserve"> placed sectors sit in the two low-energy-security corners; against other economies, its Energy Security is lowest in </w:t>
            </w:r>
            <w:r>
              <w:t>downstream solar</w:t>
            </w:r>
            <w:r>
              <w:t xml:space="preserve">, </w:t>
            </w:r>
            <w:r>
              <w:t>midstream nuclear</w:t>
            </w:r>
            <w:r>
              <w:t xml:space="preserve"> and </w:t>
            </w:r>
            <w:r>
              <w:t>downstream wind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Openings are scarce: only </w:t>
            </w:r>
            <w:r>
              <w:t>1</w:t>
            </w:r>
            <w:r>
              <w:t xml:space="preserve"> placed sector sits in the two high-opportunity corners, and its Economic Opportunity is highest in </w:t>
            </w:r>
            <w:r>
              <w:t>downstream green hydrogen</w:t>
            </w:r>
            <w:r>
              <w:t xml:space="preserve"> and </w:t>
            </w:r>
            <w:r>
              <w:t>downstream nuclear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The Strategic Index ranks </w:t>
            </w:r>
            <w:r>
              <w:t>upstream solar</w:t>
            </w:r>
            <w:r>
              <w:t xml:space="preserve"> </w:t>
            </w:r>
            <w:r>
              <w:t>1st</w:t>
            </w:r>
            <w:r>
              <w:t xml:space="preserve"> among </w:t>
            </w:r>
            <w:r>
              <w:t>Ukraine</w:t>
            </w:r>
            <w:r>
              <w:t xml:space="preserve">'s own sectors. When data-based priority is set against policy activity, </w:t>
            </w:r>
            <w:r>
              <w:t>upstream solar, upstream batteries and midstream solar</w:t>
            </w:r>
            <w:r>
              <w:t xml:space="preserve"> combine </w:t>
            </w:r>
            <w:r>
              <w:t>top priority with the most policy</w:t>
            </w:r>
            <w:r>
              <w:t xml:space="preserve">, while </w:t>
            </w:r>
            <w:r>
              <w:t>6</w:t>
            </w:r>
            <w:r>
              <w:t xml:space="preserve"> sectors combine </w:t>
            </w:r>
            <w:r>
              <w:t>top priority with the least policy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The Partnership Strength Index rates </w:t>
            </w:r>
            <w:r>
              <w:t>Austria</w:t>
            </w:r>
            <w:r>
              <w:t xml:space="preserve"> highest for </w:t>
            </w:r>
            <w:r>
              <w:t>Ukraine</w:t>
            </w:r>
            <w:r>
              <w:t xml:space="preserve">, as an </w:t>
            </w:r>
            <w:r>
              <w:t>export market</w:t>
            </w:r>
            <w:r>
              <w:t xml:space="preserve">. </w:t>
            </w:r>
            <w:r>
              <w:t>China</w:t>
            </w:r>
            <w:r>
              <w:t xml:space="preserve">, its </w:t>
            </w:r>
            <w:r>
              <w:t>1st</w:t>
            </w:r>
            <w:r>
              <w:t xml:space="preserve"> trade partner, ranks </w:t>
            </w:r>
            <w:r>
              <w:t>38th</w:t>
            </w:r>
            <w:r>
              <w:t xml:space="preserve"> on Partnership Strength.</w:t>
            </w:r>
            <w:r>
              <w:rPr>
                <w:color w:val="4B5563"/>
                <w:vertAlign w:val="superscript"/>
              </w:rPr>
              <w:t>1,2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17</w:t>
      </w:r>
      <w:r>
        <w:t xml:space="preserve"> of </w:t>
      </w:r>
      <w:r>
        <w:t>Ukraine</w:t>
      </w:r>
      <w:r>
        <w:t xml:space="preserve">'s </w:t>
      </w:r>
      <w:r>
        <w:t>28</w:t>
      </w:r>
      <w:r>
        <w:t xml:space="preserve"> placed sectors, those whose scores can both be compared with other economies, sit in the two low-energy-security corners. The Secure corner, which pairs low energy security with low opportunity, holds all </w:t>
      </w:r>
      <w:r>
        <w:t>17</w:t>
      </w:r>
      <w:r>
        <w:t xml:space="preserve"> of them. Energy Security measures how well a country can rely on what it needs in a sector, from own production and reserves to import needs; higher means more secure.</w:t>
      </w:r>
      <w:r>
        <w:rPr>
          <w:color w:val="4B5563"/>
          <w:vertAlign w:val="superscript"/>
        </w:rPr>
        <w:t>1</w:t>
      </w:r>
    </w:p>
    <w:p>
      <w:r>
        <w:t xml:space="preserve">Against other economies in the same sector, its Energy Security is lowest in </w:t>
      </w:r>
      <w:r>
        <w:t>downstream solar</w:t>
      </w:r>
      <w:r>
        <w:t xml:space="preserve">, </w:t>
      </w:r>
      <w:r>
        <w:t>midstream nuclear</w:t>
      </w:r>
      <w:r>
        <w:t xml:space="preserve"> and </w:t>
      </w:r>
      <w:r>
        <w:t>downstream wind</w:t>
      </w:r>
      <w:r>
        <w:t xml:space="preserve">. It scores </w:t>
      </w:r>
      <w:r>
        <w:t>0.36</w:t>
      </w:r>
      <w:r>
        <w:t xml:space="preserve">, </w:t>
      </w:r>
      <w:r>
        <w:t>0.39</w:t>
      </w:r>
      <w:r>
        <w:t xml:space="preserve"> and </w:t>
      </w:r>
      <w:r>
        <w:t>0.38</w:t>
      </w:r>
      <w:r>
        <w:t xml:space="preserve"> there, higher than only </w:t>
      </w:r>
      <w:r>
        <w:t>4%</w:t>
      </w:r>
      <w:r>
        <w:t xml:space="preserve">, </w:t>
      </w:r>
      <w:r>
        <w:t>9%</w:t>
      </w:r>
      <w:r>
        <w:t xml:space="preserve"> and </w:t>
      </w:r>
      <w:r>
        <w:t>18%</w:t>
      </w:r>
      <w:r>
        <w:t xml:space="preserve"> of the other economies scored in each sector. Each of them sits in the </w:t>
      </w:r>
      <w:r>
        <w:t>Secure</w:t>
      </w:r>
      <w:r>
        <w:t xml:space="preserve"> corner.</w:t>
      </w:r>
      <w:r>
        <w:rPr>
          <w:color w:val="4B5563"/>
          <w:vertAlign w:val="superscript"/>
        </w:rPr>
        <w:t>1</w:t>
      </w:r>
    </w:p>
    <w:p>
      <w:r>
        <w:t xml:space="preserve">With no sector in the Upgrade corner, Country Insights takes </w:t>
      </w:r>
      <w:r>
        <w:t>Ukraine</w:t>
      </w:r>
      <w:r>
        <w:t xml:space="preserve">'s top Strategic Index sectors as high-priority: </w:t>
      </w:r>
      <w:r>
        <w:t>upstream solar, downstream solar and upstream batteries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downstream solar</w:t>
      </w:r>
      <w:r>
        <w:t xml:space="preserve">, the score is pulled down mainly by investment and energy access. Its investment score is </w:t>
      </w:r>
      <w:r>
        <w:t>0.00</w:t>
      </w:r>
      <w:r>
        <w:t xml:space="preserve">, against a median of </w:t>
      </w:r>
      <w:r>
        <w:t>0.40</w:t>
      </w:r>
      <w:r>
        <w:t xml:space="preserve">: annual investment scores </w:t>
      </w:r>
      <w:r>
        <w:t>0.00</w:t>
      </w:r>
      <w:r>
        <w:t xml:space="preserve">, and growth in investment is not reported by the source, which the index counts as zero. Its solar consumption was </w:t>
      </w:r>
      <w:r>
        <w:t>0.557 GJ per person</w:t>
      </w:r>
      <w:r>
        <w:t xml:space="preserve"> in </w:t>
      </w:r>
      <w:r>
        <w:t>2025</w:t>
      </w:r>
      <w:r>
        <w:t xml:space="preserve">, higher than only </w:t>
      </w:r>
      <w:r>
        <w:t>18%</w:t>
      </w:r>
      <w:r>
        <w:t xml:space="preserve"> of the other economies on that measure.</w:t>
      </w:r>
      <w:r>
        <w:rPr>
          <w:color w:val="4B5563"/>
          <w:vertAlign w:val="superscript"/>
        </w:rPr>
        <w:t>1,3</w:t>
      </w:r>
    </w:p>
    <w:p>
      <w:r>
        <w:t xml:space="preserve">In </w:t>
      </w:r>
      <w:r>
        <w:t>midstream nuclear</w:t>
      </w:r>
      <w:r>
        <w:t xml:space="preserve">, trade is the only category behind the score, and it pulls the score down: its trade deficit in these goods was </w:t>
      </w:r>
      <w:r>
        <w:t>0.1% of GDP</w:t>
      </w:r>
      <w:r>
        <w:t xml:space="preserve"> in </w:t>
      </w:r>
      <w:r>
        <w:t>2023</w:t>
      </w:r>
      <w:r>
        <w:t xml:space="preserve">. On that measure it scores higher than only </w:t>
      </w:r>
      <w:r>
        <w:t>1%</w:t>
      </w:r>
      <w:r>
        <w:t xml:space="preserve"> of the other economies. For context, </w:t>
      </w:r>
      <w:r>
        <w:t>Sweden</w:t>
      </w:r>
      <w:r>
        <w:t xml:space="preserve"> supplied </w:t>
      </w:r>
      <w:r>
        <w:t>91.1%</w:t>
      </w:r>
      <w:r>
        <w:t xml:space="preserve"> of its imports of these goods in </w:t>
      </w:r>
      <w:r>
        <w:t>2024</w:t>
      </w:r>
      <w:r>
        <w:t>.</w:t>
      </w:r>
      <w:r>
        <w:rPr>
          <w:color w:val="4B5563"/>
          <w:vertAlign w:val="superscript"/>
        </w:rPr>
        <w:t>1,2,4</w:t>
      </w:r>
    </w:p>
    <w:p>
      <w:pPr>
        <w:pStyle w:val="Heading1"/>
      </w:pPr>
      <w:r>
        <w:t>2. Economic opportunities and why</w:t>
      </w:r>
    </w:p>
    <w:p>
      <w:r>
        <w:t xml:space="preserve">Openings are scarce: only </w:t>
      </w:r>
      <w:r>
        <w:t>1</w:t>
      </w:r>
      <w:r>
        <w:t xml:space="preserve"> of </w:t>
      </w:r>
      <w:r>
        <w:t>Ukraine</w:t>
      </w:r>
      <w:r>
        <w:t xml:space="preserve">'s placed sectors, </w:t>
      </w:r>
      <w:r>
        <w:t>downstream green hydrogen</w:t>
      </w:r>
      <w:r>
        <w:t>, sits in the two high-opportunity corners. Economic Opportunity measures how well placed a country is to create value in a sector, from exports and market share to investment, costs, demand and related capabilities.</w:t>
      </w:r>
      <w:r>
        <w:rPr>
          <w:color w:val="4B5563"/>
          <w:vertAlign w:val="superscript"/>
        </w:rPr>
        <w:t>1</w:t>
      </w:r>
    </w:p>
    <w:p>
      <w:r>
        <w:t xml:space="preserve">Against other economies in the same sector, its Economic Opportunity is highest in </w:t>
      </w:r>
      <w:r>
        <w:t>downstream green hydrogen</w:t>
      </w:r>
      <w:r>
        <w:t xml:space="preserve"> (</w:t>
      </w:r>
      <w:r>
        <w:t>Grow</w:t>
      </w:r>
      <w:r>
        <w:t xml:space="preserve"> corner), </w:t>
      </w:r>
      <w:r>
        <w:t>downstream nuclear</w:t>
      </w:r>
      <w:r>
        <w:t xml:space="preserve"> (</w:t>
      </w:r>
      <w:r>
        <w:t>Watch</w:t>
      </w:r>
      <w:r>
        <w:t xml:space="preserve">) and </w:t>
      </w:r>
      <w:r>
        <w:t>downstream oil</w:t>
      </w:r>
      <w:r>
        <w:t xml:space="preserve"> (</w:t>
      </w:r>
      <w:r>
        <w:t>Secure</w:t>
      </w:r>
      <w:r>
        <w:t xml:space="preserve">). Its scores there are higher than </w:t>
      </w:r>
      <w:r>
        <w:t>64%</w:t>
      </w:r>
      <w:r>
        <w:t xml:space="preserve">, </w:t>
      </w:r>
      <w:r>
        <w:t>44%</w:t>
      </w:r>
      <w:r>
        <w:t xml:space="preserve"> and </w:t>
      </w:r>
      <w:r>
        <w:t>40%</w:t>
      </w:r>
      <w:r>
        <w:t xml:space="preserve"> of the other economies scored.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downstream green hydrogen</w:t>
      </w:r>
      <w:r>
        <w:t xml:space="preserve">, consumption pushes the score up: on use per person today it scores higher than </w:t>
      </w:r>
      <w:r>
        <w:t>83%</w:t>
      </w:r>
      <w:r>
        <w:t xml:space="preserve"> of the other economies, and on expected growth in use per person higher than </w:t>
      </w:r>
      <w:r>
        <w:t>81%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downstream nuclear</w:t>
      </w:r>
      <w:r>
        <w:t xml:space="preserve">, investment pushes the score up: on annual investment it scores higher than </w:t>
      </w:r>
      <w:r>
        <w:t>92%</w:t>
      </w:r>
      <w:r>
        <w:t xml:space="preserve"> of the other economies. Cost competitiveness pulls it down: on input costs for labour and capital it scores higher than only </w:t>
      </w:r>
      <w:r>
        <w:t>5%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downstream oil</w:t>
      </w:r>
      <w:r>
        <w:t xml:space="preserve">, production pushes the score up: power generation from oil was </w:t>
      </w:r>
      <w:r>
        <w:t>0.842 TWh</w:t>
      </w:r>
      <w:r>
        <w:t xml:space="preserve"> in </w:t>
      </w:r>
      <w:r>
        <w:t>2025</w:t>
      </w:r>
      <w:r>
        <w:t xml:space="preserve">, and on growth in production it scores higher than </w:t>
      </w:r>
      <w:r>
        <w:t>91%</w:t>
      </w:r>
      <w:r>
        <w:t xml:space="preserve"> of the other economies.</w:t>
      </w:r>
      <w:r>
        <w:rPr>
          <w:color w:val="4B5563"/>
          <w:vertAlign w:val="superscript"/>
        </w:rPr>
        <w:t>1,3</w:t>
      </w:r>
    </w:p>
    <w:p>
      <w:r>
        <w:t xml:space="preserve">The paper's framework associates the Grow corner with export promotion, and the Watch corner, where </w:t>
      </w:r>
      <w:r>
        <w:t>10</w:t>
      </w:r>
      <w:r>
        <w:t xml:space="preserve"> of its sectors sit, with creating value elsewhere in the chain.</w:t>
      </w:r>
      <w:r>
        <w:rPr>
          <w:color w:val="4B5563"/>
          <w:vertAlign w:val="superscript"/>
        </w:rPr>
        <w:t>1</w:t>
      </w:r>
    </w:p>
    <w:p>
      <w:pPr>
        <w:pStyle w:val="Heading1"/>
      </w:pPr>
      <w:r>
        <w:t>3. Sectoral priorities and the existing policy posture</w:t>
      </w:r>
    </w:p>
    <w:p>
      <w:r>
        <w:t xml:space="preserve">The Strategic Index ranks a country's own sectors by opportunity, security need, policy activity, stage and low-emission value. Among </w:t>
      </w:r>
      <w:r>
        <w:t>Ukraine</w:t>
      </w:r>
      <w:r>
        <w:t xml:space="preserve">'s own sectors, it ranks </w:t>
      </w:r>
      <w:r>
        <w:t>upstream solar</w:t>
      </w:r>
      <w:r>
        <w:t xml:space="preserve"> </w:t>
      </w:r>
      <w:r>
        <w:t>1st</w:t>
      </w:r>
      <w:r>
        <w:t xml:space="preserve"> (</w:t>
      </w:r>
      <w:r>
        <w:t>0.64</w:t>
      </w:r>
      <w:r>
        <w:t xml:space="preserve">), </w:t>
      </w:r>
      <w:r>
        <w:t>downstream solar</w:t>
      </w:r>
      <w:r>
        <w:t xml:space="preserve"> </w:t>
      </w:r>
      <w:r>
        <w:t>2nd</w:t>
      </w:r>
      <w:r>
        <w:t xml:space="preserve"> and </w:t>
      </w:r>
      <w:r>
        <w:t>upstream batteries</w:t>
      </w:r>
      <w:r>
        <w:t xml:space="preserve"> </w:t>
      </w:r>
      <w:r>
        <w:t>3rd</w:t>
      </w:r>
      <w:r>
        <w:t xml:space="preserve">. The scores of </w:t>
      </w:r>
      <w:r>
        <w:t>downstream solar</w:t>
      </w:r>
      <w:r>
        <w:t xml:space="preserve"> and </w:t>
      </w:r>
      <w:r>
        <w:t>upstream batteries</w:t>
      </w:r>
      <w:r>
        <w:t xml:space="preserve"> are almost tied, </w:t>
      </w:r>
      <w:r>
        <w:t>0.006</w:t>
      </w:r>
      <w:r>
        <w:t xml:space="preserve"> apart, and </w:t>
      </w:r>
      <w:r>
        <w:t>upstream batteries</w:t>
      </w:r>
      <w:r>
        <w:t xml:space="preserve"> is almost tied with </w:t>
      </w:r>
      <w:r>
        <w:t>midstream solar</w:t>
      </w:r>
      <w:r>
        <w:t xml:space="preserve"> (</w:t>
      </w:r>
      <w:r>
        <w:t>4th</w:t>
      </w:r>
      <w:r>
        <w:t>).</w:t>
      </w:r>
      <w:r>
        <w:rPr>
          <w:color w:val="4B5563"/>
          <w:vertAlign w:val="superscript"/>
        </w:rPr>
        <w:t>1</w:t>
      </w:r>
    </w:p>
    <w:p>
      <w:r>
        <w:t xml:space="preserve">The rank of </w:t>
      </w:r>
      <w:r>
        <w:t>downstream solar</w:t>
      </w:r>
      <w:r>
        <w:t xml:space="preserve"> reflects its policy term of </w:t>
      </w:r>
      <w:r>
        <w:t>0.200</w:t>
      </w:r>
      <w:r>
        <w:t>, the full weight of that term.</w:t>
      </w:r>
      <w:r>
        <w:rPr>
          <w:color w:val="4B5563"/>
          <w:vertAlign w:val="superscript"/>
        </w:rPr>
        <w:t>1</w:t>
      </w:r>
    </w:p>
    <w:p>
      <w:r>
        <w:t>Ukraine</w:t>
      </w:r>
      <w:r>
        <w:t xml:space="preserve">'s allied pick in the network design is </w:t>
      </w:r>
      <w:r>
        <w:t>upstream batteries</w:t>
      </w:r>
      <w:r>
        <w:t xml:space="preserve"> (</w:t>
      </w:r>
      <w:r>
        <w:t>0.62</w:t>
      </w:r>
      <w:r>
        <w:t xml:space="preserve">), almost tied with the runner-up, </w:t>
      </w:r>
      <w:r>
        <w:t>midstream solar</w:t>
      </w:r>
      <w:r>
        <w:t xml:space="preserve"> (</w:t>
      </w:r>
      <w:r>
        <w:t>0.002</w:t>
      </w:r>
      <w:r>
        <w:t xml:space="preserve"> apart). The pick is </w:t>
      </w:r>
      <w:r>
        <w:t>Ukraine</w:t>
      </w:r>
      <w:r>
        <w:t xml:space="preserve">'s first upstream or midstream sector on the Strategic Index after a resource-base screen. The upstream sector ranked above it, </w:t>
      </w:r>
      <w:r>
        <w:t>upstream solar</w:t>
      </w:r>
      <w:r>
        <w:t>, is screened out because no resource base is recorded for it.</w:t>
      </w:r>
      <w:r>
        <w:rPr>
          <w:color w:val="4B5563"/>
          <w:vertAlign w:val="superscript"/>
        </w:rPr>
        <w:t>5</w:t>
      </w:r>
    </w:p>
    <w:p>
      <w:r>
        <w:t xml:space="preserve">Country Insights splits the sectors into thirds by data-based priority (the Strategic Index without its policy term) and again by policy activity. On that comparison, </w:t>
      </w:r>
      <w:r>
        <w:t>upstream solar, upstream batteries and midstream solar</w:t>
      </w:r>
      <w:r>
        <w:t xml:space="preserve"> combine </w:t>
      </w:r>
      <w:r>
        <w:t>top priority with the most policy</w:t>
      </w:r>
      <w:r>
        <w:t xml:space="preserve">. By contrast, </w:t>
      </w:r>
      <w:r>
        <w:t>upstream wind, upstream electric grid, upstream green hydrogen, midstream nuclear, midstream electric grid and upstream electric vehicles</w:t>
      </w:r>
      <w:r>
        <w:t xml:space="preserve"> combine </w:t>
      </w:r>
      <w:r>
        <w:t>top priority with the least policy</w:t>
      </w:r>
      <w:r>
        <w:t xml:space="preserve">. At the other end, </w:t>
      </w:r>
      <w:r>
        <w:t>downstream oil and downstream coal</w:t>
      </w:r>
      <w:r>
        <w:t xml:space="preserve"> combine </w:t>
      </w:r>
      <w:r>
        <w:t>bottom priority with the most policy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The Climate Action Tracker does not rate </w:t>
      </w:r>
      <w:r>
        <w:t>Ukraine</w:t>
      </w:r>
      <w:r>
        <w:t xml:space="preserve">, so its policy basis is </w:t>
      </w:r>
      <w:r>
        <w:t>International Energy Agency Policies and Measures records only</w:t>
      </w:r>
      <w:r>
        <w:t xml:space="preserve">. </w:t>
      </w:r>
      <w:r>
        <w:t>Ukraine</w:t>
      </w:r>
      <w:r>
        <w:t xml:space="preserve"> has </w:t>
      </w:r>
      <w:r>
        <w:t>85</w:t>
      </w:r>
      <w:r>
        <w:t xml:space="preserve"> such records, </w:t>
      </w:r>
      <w:r>
        <w:t>42</w:t>
      </w:r>
      <w:r>
        <w:t xml:space="preserve"> of which name a technology. For context, </w:t>
      </w:r>
      <w:r>
        <w:t>15</w:t>
      </w:r>
      <w:r>
        <w:t xml:space="preserve"> records name </w:t>
      </w:r>
      <w:r>
        <w:t>downstream solar</w:t>
      </w:r>
      <w:r>
        <w:t xml:space="preserve"> specifically, against </w:t>
      </w:r>
      <w:r>
        <w:t>0</w:t>
      </w:r>
      <w:r>
        <w:t xml:space="preserve"> for </w:t>
      </w:r>
      <w:r>
        <w:t>upstream wind</w:t>
      </w:r>
      <w:r>
        <w:t>.</w:t>
      </w:r>
      <w:r>
        <w:rPr>
          <w:color w:val="4B5563"/>
          <w:vertAlign w:val="superscript"/>
        </w:rPr>
        <w:t>1,6</w:t>
      </w:r>
    </w:p>
    <w:p>
      <w:pPr>
        <w:pStyle w:val="Heading1"/>
      </w:pPr>
      <w:r>
        <w:t>4. Partnership priorities and why</w:t>
      </w:r>
    </w:p>
    <w:p>
      <w:r>
        <w:t xml:space="preserve">The Partnership Strength Index scores partners in energy supply chains as reliable suppliers (Friendshore), export markets (Partnership Opportunity) and development partners (Development Potential). It rates </w:t>
      </w:r>
      <w:r>
        <w:t>Austria</w:t>
      </w:r>
      <w:r>
        <w:t xml:space="preserve"> highest for </w:t>
      </w:r>
      <w:r>
        <w:t>Ukraine</w:t>
      </w:r>
      <w:r>
        <w:t xml:space="preserve"> (</w:t>
      </w:r>
      <w:r>
        <w:t>0.80</w:t>
      </w:r>
      <w:r>
        <w:t xml:space="preserve">), as an </w:t>
      </w:r>
      <w:r>
        <w:t>export market</w:t>
      </w:r>
      <w:r>
        <w:t xml:space="preserve">, strongest in </w:t>
      </w:r>
      <w:r>
        <w:t>midstream electric vehicles, midstream wind, midstream solar, downstream nuclear and midstream electric grid</w:t>
      </w:r>
      <w:r>
        <w:t>.</w:t>
      </w:r>
      <w:r>
        <w:rPr>
          <w:color w:val="4B5563"/>
          <w:vertAlign w:val="superscript"/>
        </w:rPr>
        <w:t>1</w:t>
      </w:r>
    </w:p>
    <w:p>
      <w:r>
        <w:t>Germany</w:t>
      </w:r>
      <w:r>
        <w:t xml:space="preserve"> (</w:t>
      </w:r>
      <w:r>
        <w:t>2nd</w:t>
      </w:r>
      <w:r>
        <w:t xml:space="preserve">, also </w:t>
      </w:r>
      <w:r>
        <w:t>0.80</w:t>
      </w:r>
      <w:r>
        <w:t xml:space="preserve">), the </w:t>
      </w:r>
      <w:r>
        <w:t>Czech Republic</w:t>
      </w:r>
      <w:r>
        <w:t xml:space="preserve"> (</w:t>
      </w:r>
      <w:r>
        <w:t>3rd</w:t>
      </w:r>
      <w:r>
        <w:t xml:space="preserve">) and </w:t>
      </w:r>
      <w:r>
        <w:t>Poland</w:t>
      </w:r>
      <w:r>
        <w:t xml:space="preserve"> (</w:t>
      </w:r>
      <w:r>
        <w:t>4th</w:t>
      </w:r>
      <w:r>
        <w:t xml:space="preserve">) follow, each scoring best as a </w:t>
      </w:r>
      <w:r>
        <w:t>reliable supplier</w:t>
      </w:r>
      <w:r>
        <w:t xml:space="preserve">. </w:t>
      </w:r>
      <w:r>
        <w:t>Georgia</w:t>
      </w:r>
      <w:r>
        <w:t xml:space="preserve"> ranks </w:t>
      </w:r>
      <w:r>
        <w:t>5th</w:t>
      </w:r>
      <w:r>
        <w:t xml:space="preserve">, scoring best as a </w:t>
      </w:r>
      <w:r>
        <w:t>development partner</w:t>
      </w:r>
      <w:r>
        <w:t xml:space="preserve">, with a Development Potential of </w:t>
      </w:r>
      <w:r>
        <w:t>1.00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Today's trade matches part of this ranking. On average across its energy-goods baskets, </w:t>
      </w:r>
      <w:r>
        <w:t>Poland</w:t>
      </w:r>
      <w:r>
        <w:t xml:space="preserve"> is </w:t>
      </w:r>
      <w:r>
        <w:t>Ukraine</w:t>
      </w:r>
      <w:r>
        <w:t xml:space="preserve">'s </w:t>
      </w:r>
      <w:r>
        <w:t>2nd</w:t>
      </w:r>
      <w:r>
        <w:t xml:space="preserve"> trade partner, the </w:t>
      </w:r>
      <w:r>
        <w:t>Czech Republic</w:t>
      </w:r>
      <w:r>
        <w:t xml:space="preserve"> its </w:t>
      </w:r>
      <w:r>
        <w:t>3rd</w:t>
      </w:r>
      <w:r>
        <w:t xml:space="preserve"> and </w:t>
      </w:r>
      <w:r>
        <w:t>Germany</w:t>
      </w:r>
      <w:r>
        <w:t xml:space="preserve"> its </w:t>
      </w:r>
      <w:r>
        <w:t>5th</w:t>
      </w:r>
      <w:r>
        <w:t xml:space="preserve">. </w:t>
      </w:r>
      <w:r>
        <w:t>Austria</w:t>
      </w:r>
      <w:r>
        <w:t xml:space="preserve"> is only its </w:t>
      </w:r>
      <w:r>
        <w:t>13th</w:t>
      </w:r>
      <w:r>
        <w:t xml:space="preserve"> and </w:t>
      </w:r>
      <w:r>
        <w:t>Georgia</w:t>
      </w:r>
      <w:r>
        <w:t xml:space="preserve"> its </w:t>
      </w:r>
      <w:r>
        <w:t>28th</w:t>
      </w:r>
      <w:r>
        <w:t>.</w:t>
      </w:r>
      <w:r>
        <w:rPr>
          <w:color w:val="4B5563"/>
          <w:vertAlign w:val="superscript"/>
        </w:rPr>
        <w:t>1,2</w:t>
      </w:r>
    </w:p>
    <w:p>
      <w:r>
        <w:t>China</w:t>
      </w:r>
      <w:r>
        <w:t xml:space="preserve"> is its </w:t>
      </w:r>
      <w:r>
        <w:t>1st</w:t>
      </w:r>
      <w:r>
        <w:t xml:space="preserve"> trade partner, with </w:t>
      </w:r>
      <w:r>
        <w:t>27.4%</w:t>
      </w:r>
      <w:r>
        <w:t xml:space="preserve"> of its imports on average, but ranks </w:t>
      </w:r>
      <w:r>
        <w:t>38th</w:t>
      </w:r>
      <w:r>
        <w:t xml:space="preserve"> on Partnership Strength, </w:t>
      </w:r>
      <w:r>
        <w:t>a strong tie today that the index ranks lower</w:t>
      </w:r>
      <w:r>
        <w:t xml:space="preserve">. In UN votes they sit in </w:t>
      </w:r>
      <w:r>
        <w:t>opposite blocs</w:t>
      </w:r>
      <w:r>
        <w:t xml:space="preserve">, while the partners named above vote in the </w:t>
      </w:r>
      <w:r>
        <w:t>same bloc</w:t>
      </w:r>
      <w:r>
        <w:t xml:space="preserve"> as </w:t>
      </w:r>
      <w:r>
        <w:t>Ukraine</w:t>
      </w:r>
      <w:r>
        <w:t>.</w:t>
      </w:r>
      <w:r>
        <w:rPr>
          <w:color w:val="4B5563"/>
          <w:vertAlign w:val="superscript"/>
        </w:rPr>
        <w:t>1,2,7</w:t>
      </w:r>
    </w:p>
    <w:p>
      <w:r>
        <w:t xml:space="preserve">As a partner to the coalition, </w:t>
      </w:r>
      <w:r>
        <w:t>Ukraine</w:t>
      </w:r>
      <w:r>
        <w:t xml:space="preserve"> ranks </w:t>
      </w:r>
      <w:r>
        <w:t>60th</w:t>
      </w:r>
      <w:r>
        <w:t xml:space="preserve"> of </w:t>
      </w:r>
      <w:r>
        <w:t>192</w:t>
      </w:r>
      <w:r>
        <w:t xml:space="preserve"> economies. In the allied network design it is a member with no production share in any of the </w:t>
      </w:r>
      <w:r>
        <w:t>22</w:t>
      </w:r>
      <w:r>
        <w:t xml:space="preserve"> upstream and midstream stages.</w:t>
      </w:r>
      <w:r>
        <w:rPr>
          <w:color w:val="4B5563"/>
          <w:vertAlign w:val="superscript"/>
        </w:rPr>
        <w:t>1,5</w:t>
      </w:r>
    </w:p>
    <w:p>
      <w:pPr>
        <w:pStyle w:val="Heading1"/>
      </w:pPr>
      <w:r>
        <w:t>5. Data notes and caveats</w:t>
      </w:r>
    </w:p>
    <w:p>
      <w:r>
        <w:t xml:space="preserve">Values are as of </w:t>
      </w:r>
      <w:r>
        <w:t>12 October 2026</w:t>
      </w:r>
      <w:r>
        <w:t>; Country Insights has more.</w:t>
      </w:r>
    </w:p>
    <w:p>
      <w:pPr>
        <w:pStyle w:val="ListBullet"/>
      </w:pPr>
      <w:r>
        <w:t>Scores compare Ukraine with other economies in the same sector; they are not measures of risk or profit in absolute terms.</w:t>
      </w:r>
    </w:p>
    <w:p>
      <w:pPr>
        <w:pStyle w:val="ListBullet"/>
      </w:pPr>
      <w:r>
        <w:t>All index values are the paper's baseline as of 12 October 2026; Strategic Insights recomputes them under other weightings.</w:t>
      </w:r>
    </w:p>
    <w:p>
      <w:pPr>
        <w:pStyle w:val="ListBullet"/>
      </w:pPr>
      <w:r>
        <w:t>The Climate Action Tracker does not rate Ukraine, so its policy activity rests on International Energy Agency Policies and Measures records alone; its policy levels compare only with economies on the same basis.</w:t>
      </w:r>
    </w:p>
    <w:p>
      <w:pPr>
        <w:pStyle w:val="ListBullet"/>
      </w:pPr>
      <w:r>
        <w:t>Some figures behind these scores are filled in where the source has no value: with zero where a source lists every holder, otherwise with the world average.</w:t>
      </w:r>
    </w:p>
    <w:p>
      <w:pPr>
        <w:pStyle w:val="ListBullet"/>
      </w:pPr>
      <w:r>
        <w:t>Strategic Index scores within 0.01 of each other are almost tied: small changes in the data or the weights can swap their order.</w:t>
      </w:r>
    </w:p>
    <w:p>
      <w:pPr>
        <w:pStyle w:val="ListBullet"/>
      </w:pPr>
      <w:r>
        <w:t>Many allied picks are close calls: in the paper, 37% of them are within 0.01 of the runner-up.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Ukraine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Ukraine: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UKR</cp:keywords>
  <dc:description>paper baseline as of 12 October 2026; fact sheet sha256 74db6cb2b9bbc3999bf3f810a1ce6cfb7f9b11ad8afceb584814c513a2fa910f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